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12"/>
      <w:bookmarkStart w:id="2" w:name="OLE_LINK13"/>
      <w:bookmarkStart w:id="3" w:name="OLE_LINK34"/>
      <w:bookmarkStart w:id="4" w:name="OLE_LINK33"/>
      <w:r>
        <w:rPr>
          <w:rFonts w:cs="Arial"/>
          <w:b/>
        </w:rPr>
        <w:t>3GPP TSG-RAN WG2 Meeting #1</w:t>
      </w:r>
      <w:r>
        <w:rPr>
          <w:rFonts w:hint="eastAsia" w:cs="Arial"/>
          <w:b/>
          <w:lang w:val="en-US" w:eastAsia="zh-CN"/>
        </w:rPr>
        <w:t>20</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R2-2</w:t>
      </w:r>
      <w:r>
        <w:rPr>
          <w:rFonts w:hint="eastAsia" w:cs="Arial"/>
          <w:b/>
          <w:lang w:val="en-US" w:eastAsia="zh-CN"/>
        </w:rPr>
        <w:t>212683</w:t>
      </w:r>
    </w:p>
    <w:p>
      <w:pPr>
        <w:snapToGrid w:val="0"/>
        <w:spacing w:after="0" w:line="240" w:lineRule="auto"/>
        <w:rPr>
          <w:rFonts w:cs="Arial"/>
          <w:b/>
          <w:lang w:val="en-US" w:eastAsia="zh-CN"/>
        </w:rPr>
      </w:pPr>
      <w:r>
        <w:rPr>
          <w:rFonts w:hint="eastAsia" w:cs="Arial"/>
          <w:b/>
          <w:lang w:val="en-US" w:eastAsia="zh-CN"/>
        </w:rPr>
        <w:t>Toulouse</w:t>
      </w:r>
      <w:r>
        <w:rPr>
          <w:rFonts w:cs="Arial"/>
          <w:b/>
        </w:rPr>
        <w:t xml:space="preserve">, </w:t>
      </w:r>
      <w:r>
        <w:rPr>
          <w:rFonts w:hint="eastAsia" w:cs="Arial"/>
          <w:b/>
          <w:highlight w:val="none"/>
          <w:lang w:val="en-US" w:eastAsia="zh-CN"/>
        </w:rPr>
        <w:t xml:space="preserve">France, </w:t>
      </w:r>
      <w:r>
        <w:rPr>
          <w:rFonts w:hint="eastAsia" w:cs="Arial"/>
          <w:b/>
          <w:lang w:val="en-US" w:eastAsia="zh-CN"/>
        </w:rPr>
        <w:t>Nov</w:t>
      </w:r>
      <w:r>
        <w:rPr>
          <w:rFonts w:cs="Arial"/>
          <w:b/>
        </w:rPr>
        <w:t xml:space="preserve"> </w:t>
      </w:r>
      <w:r>
        <w:rPr>
          <w:rFonts w:hint="eastAsia" w:cs="Arial"/>
          <w:b/>
          <w:lang w:val="en-US" w:eastAsia="zh-CN"/>
        </w:rPr>
        <w:t>14</w:t>
      </w:r>
      <w:r>
        <w:rPr>
          <w:rFonts w:hint="eastAsia" w:cs="Arial"/>
          <w:b/>
          <w:vertAlign w:val="superscript"/>
          <w:lang w:val="en-US" w:eastAsia="zh-CN"/>
        </w:rPr>
        <w:t>th</w:t>
      </w:r>
      <w:r>
        <w:rPr>
          <w:rFonts w:cs="Arial"/>
          <w:b/>
        </w:rPr>
        <w:t xml:space="preserve"> –</w:t>
      </w:r>
      <w:r>
        <w:rPr>
          <w:rFonts w:hint="eastAsia" w:cs="Arial"/>
          <w:b/>
          <w:lang w:val="en-US" w:eastAsia="zh-CN"/>
        </w:rPr>
        <w:t xml:space="preserve"> 18</w:t>
      </w:r>
      <w:r>
        <w:rPr>
          <w:rFonts w:hint="eastAsia" w:cs="Arial"/>
          <w:b/>
          <w:vertAlign w:val="superscript"/>
          <w:lang w:val="en-US" w:eastAsia="zh-CN"/>
        </w:rPr>
        <w:t>th</w:t>
      </w:r>
      <w:r>
        <w:rPr>
          <w:rFonts w:cs="Arial"/>
          <w:b/>
        </w:rPr>
        <w:t>, 202</w:t>
      </w:r>
      <w:r>
        <w:rPr>
          <w:rFonts w:hint="eastAsia" w:cs="Arial"/>
          <w:b/>
          <w:lang w:val="en-US" w:eastAsia="zh-CN"/>
        </w:rPr>
        <w:t>2</w:t>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hint="default" w:eastAsia="宋体" w:cs="Arial"/>
          <w:b/>
          <w:lang w:val="en-US" w:eastAsia="zh-CN"/>
        </w:rPr>
      </w:pPr>
      <w:r>
        <w:rPr>
          <w:rFonts w:eastAsia="宋体" w:cs="Arial"/>
          <w:b/>
        </w:rPr>
        <w:t xml:space="preserve">Title:            Discussion </w:t>
      </w:r>
      <w:r>
        <w:rPr>
          <w:rFonts w:hint="eastAsia" w:eastAsia="宋体" w:cs="Arial"/>
          <w:b/>
          <w:lang w:val="en-US" w:eastAsia="zh-CN"/>
        </w:rPr>
        <w:t>on LPHAP</w:t>
      </w:r>
    </w:p>
    <w:bookmarkEnd w:id="0"/>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 xml:space="preserve">Agenda item:    </w:t>
      </w:r>
      <w:r>
        <w:rPr>
          <w:rFonts w:hint="eastAsia" w:eastAsia="宋体" w:cs="Arial"/>
          <w:b/>
          <w:lang w:val="en-US" w:eastAsia="zh-CN"/>
        </w:rPr>
        <w:t>8.2.4</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pageBreakBefore w:val="0"/>
        <w:numPr>
          <w:ilvl w:val="0"/>
          <w:numId w:val="5"/>
        </w:numPr>
        <w:kinsoku/>
        <w:wordWrap/>
        <w:topLinePunct w:val="0"/>
        <w:bidi w:val="0"/>
        <w:adjustRightInd w:val="0"/>
        <w:snapToGrid w:val="0"/>
        <w:spacing w:before="157" w:beforeLines="50" w:after="157" w:afterLines="50" w:line="240" w:lineRule="auto"/>
        <w:rPr>
          <w:sz w:val="28"/>
          <w:lang w:val="en-US"/>
        </w:rPr>
      </w:pPr>
      <w:r>
        <w:rPr>
          <w:sz w:val="28"/>
          <w:lang w:val="en-US"/>
        </w:rPr>
        <w:t>Introduction</w:t>
      </w:r>
    </w:p>
    <w:p>
      <w:pPr>
        <w:pageBreakBefore w:val="0"/>
        <w:kinsoku/>
        <w:wordWrap/>
        <w:topLinePunct w:val="0"/>
        <w:bidi w:val="0"/>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T</w:t>
      </w:r>
      <w:r>
        <w:rPr>
          <w:rFonts w:ascii="Times New Roman" w:hAnsi="Times New Roman"/>
          <w:sz w:val="20"/>
          <w:szCs w:val="20"/>
          <w:lang w:val="en-US" w:eastAsia="zh-CN"/>
        </w:rPr>
        <w:t xml:space="preserve">he </w:t>
      </w:r>
      <w:r>
        <w:rPr>
          <w:rFonts w:hint="eastAsia" w:ascii="Times New Roman" w:hAnsi="Times New Roman"/>
          <w:sz w:val="20"/>
          <w:szCs w:val="20"/>
          <w:lang w:val="en-US" w:eastAsia="zh-CN"/>
        </w:rPr>
        <w:t>Rel-18 SID</w:t>
      </w:r>
      <w:r>
        <w:rPr>
          <w:rFonts w:ascii="Times New Roman" w:hAnsi="Times New Roman"/>
          <w:sz w:val="20"/>
          <w:szCs w:val="20"/>
          <w:lang w:val="en-US" w:eastAsia="zh-CN"/>
        </w:rPr>
        <w:t xml:space="preserve"> </w:t>
      </w:r>
      <w:r>
        <w:rPr>
          <w:rFonts w:hint="eastAsia" w:ascii="Times New Roman" w:hAnsi="Times New Roman"/>
          <w:sz w:val="20"/>
          <w:szCs w:val="20"/>
          <w:lang w:val="en-US" w:eastAsia="zh-CN"/>
        </w:rPr>
        <w:t>[1] for LPHAP positioning is achieved as follows:</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numPr>
                <w:ilvl w:val="0"/>
                <w:numId w:val="6"/>
              </w:numPr>
              <w:kinsoku/>
              <w:wordWrap/>
              <w:topLinePunct w:val="0"/>
              <w:bidi w:val="0"/>
              <w:adjustRightInd w:val="0"/>
              <w:snapToGrid w:val="0"/>
              <w:spacing w:before="157" w:beforeLines="50" w:after="157" w:afterLines="50" w:line="240" w:lineRule="auto"/>
              <w:rPr>
                <w:rFonts w:hint="default" w:ascii="Times New Roman" w:hAnsi="Times New Roman" w:cs="Times New Roman"/>
                <w:bCs/>
                <w:sz w:val="20"/>
                <w:szCs w:val="20"/>
              </w:rPr>
            </w:pPr>
            <w:r>
              <w:rPr>
                <w:rFonts w:hint="default" w:ascii="Times New Roman" w:hAnsi="Times New Roman" w:cs="Times New Roman"/>
                <w:bCs/>
                <w:sz w:val="20"/>
                <w:szCs w:val="20"/>
              </w:rPr>
              <w:t>Improved accuracy, integrity, and power efficiency:</w:t>
            </w:r>
          </w:p>
          <w:p>
            <w:pPr>
              <w:pageBreakBefore w:val="0"/>
              <w:numPr>
                <w:ilvl w:val="1"/>
                <w:numId w:val="6"/>
              </w:numPr>
              <w:kinsoku/>
              <w:wordWrap/>
              <w:topLinePunct w:val="0"/>
              <w:bidi w:val="0"/>
              <w:adjustRightInd w:val="0"/>
              <w:snapToGrid w:val="0"/>
              <w:spacing w:before="157" w:beforeLines="50" w:after="157" w:afterLines="50" w:line="240" w:lineRule="auto"/>
              <w:rPr>
                <w:rFonts w:hint="default" w:ascii="Times New Roman" w:hAnsi="Times New Roman" w:cs="Times New Roman"/>
                <w:bCs/>
                <w:sz w:val="20"/>
                <w:szCs w:val="20"/>
              </w:rPr>
            </w:pPr>
            <w:r>
              <w:rPr>
                <w:rFonts w:hint="default" w:ascii="Times New Roman" w:hAnsi="Times New Roman" w:cs="Times New Roman"/>
                <w:bCs/>
                <w:sz w:val="20"/>
                <w:szCs w:val="20"/>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pPr>
              <w:pageBreakBefore w:val="0"/>
              <w:numPr>
                <w:ilvl w:val="2"/>
                <w:numId w:val="6"/>
              </w:numPr>
              <w:kinsoku/>
              <w:wordWrap/>
              <w:topLinePunct w:val="0"/>
              <w:bidi w:val="0"/>
              <w:adjustRightInd w:val="0"/>
              <w:snapToGrid w:val="0"/>
              <w:spacing w:before="157" w:beforeLines="50" w:after="157" w:afterLines="50" w:line="240" w:lineRule="auto"/>
              <w:rPr>
                <w:rFonts w:hint="default" w:ascii="Times New Roman" w:hAnsi="Times New Roman" w:cs="Times New Roman"/>
                <w:bCs/>
                <w:sz w:val="20"/>
                <w:szCs w:val="20"/>
              </w:rPr>
            </w:pPr>
            <w:r>
              <w:rPr>
                <w:rFonts w:hint="default" w:ascii="Times New Roman" w:hAnsi="Times New Roman" w:cs="Times New Roman"/>
                <w:bCs/>
                <w:sz w:val="20"/>
                <w:szCs w:val="20"/>
              </w:rPr>
              <w:t>Study is limited to a single representative use case (use case 6 as defined TS 22.104). The choice of selected use case can be reviewed at the start of the study.</w:t>
            </w:r>
          </w:p>
          <w:p>
            <w:pPr>
              <w:pageBreakBefore w:val="0"/>
              <w:numPr>
                <w:ilvl w:val="2"/>
                <w:numId w:val="6"/>
              </w:numPr>
              <w:kinsoku/>
              <w:wordWrap/>
              <w:topLinePunct w:val="0"/>
              <w:bidi w:val="0"/>
              <w:adjustRightInd w:val="0"/>
              <w:snapToGrid w:val="0"/>
              <w:spacing w:before="157" w:beforeLines="50" w:after="157" w:afterLines="50" w:line="240" w:lineRule="auto"/>
              <w:rPr>
                <w:rFonts w:ascii="Times New Roman" w:hAnsi="Times New Roman"/>
                <w:sz w:val="20"/>
                <w:szCs w:val="20"/>
                <w:lang w:val="en-US" w:eastAsia="zh-CN"/>
              </w:rPr>
            </w:pPr>
            <w:r>
              <w:rPr>
                <w:rFonts w:hint="default" w:ascii="Times New Roman" w:hAnsi="Times New Roman" w:cs="Times New Roman"/>
                <w:bCs/>
                <w:sz w:val="20"/>
                <w:szCs w:val="20"/>
              </w:rPr>
              <w:t>Study is limited to enhancements to RRC_INACTIVE and/or RRC_IDLE state</w:t>
            </w:r>
          </w:p>
        </w:tc>
      </w:tr>
    </w:tbl>
    <w:p>
      <w:pPr>
        <w:pageBreakBefore w:val="0"/>
        <w:kinsoku/>
        <w:wordWrap/>
        <w:topLinePunct w:val="0"/>
        <w:bidi w:val="0"/>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In this contribution, we discuss some technical enhancements about LPHAP positioning from RAN2 perspective.</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D</w:t>
      </w:r>
      <w:r>
        <w:rPr>
          <w:rFonts w:cs="Arial"/>
          <w:kern w:val="0"/>
          <w:sz w:val="28"/>
          <w:szCs w:val="32"/>
          <w:lang w:val="en-US" w:eastAsia="zh-CN"/>
        </w:rPr>
        <w:t>iscussion</w:t>
      </w:r>
    </w:p>
    <w:p>
      <w:pPr>
        <w:pStyle w:val="3"/>
        <w:pageBreakBefore w:val="0"/>
        <w:numPr>
          <w:ilvl w:val="1"/>
          <w:numId w:val="5"/>
        </w:numPr>
        <w:kinsoku/>
        <w:wordWrap/>
        <w:topLinePunct w:val="0"/>
        <w:bidi w:val="0"/>
        <w:adjustRightInd w:val="0"/>
        <w:snapToGrid w:val="0"/>
        <w:spacing w:before="157" w:beforeLines="50" w:after="157" w:afterLines="50" w:line="240" w:lineRule="auto"/>
        <w:rPr>
          <w:sz w:val="24"/>
          <w:szCs w:val="28"/>
          <w:lang w:val="en-US" w:eastAsia="zh-CN"/>
        </w:rPr>
      </w:pPr>
      <w:r>
        <w:rPr>
          <w:rFonts w:hint="eastAsia"/>
          <w:sz w:val="24"/>
          <w:szCs w:val="28"/>
          <w:lang w:val="en-US" w:eastAsia="zh-CN"/>
        </w:rPr>
        <w:t xml:space="preserve"> Identification of LPHAP UE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LPHAP</w:t>
      </w:r>
      <w:r>
        <w:rPr>
          <w:rFonts w:ascii="Times New Roman" w:hAnsi="Times New Roman" w:eastAsia="宋体"/>
          <w:sz w:val="20"/>
          <w:szCs w:val="20"/>
          <w:lang w:val="en-US" w:eastAsia="zh-CN"/>
        </w:rPr>
        <w:t xml:space="preserve"> </w:t>
      </w:r>
      <w:r>
        <w:rPr>
          <w:rFonts w:hint="eastAsia" w:ascii="Times New Roman" w:hAnsi="Times New Roman" w:eastAsia="宋体"/>
          <w:sz w:val="20"/>
          <w:szCs w:val="20"/>
          <w:lang w:val="en-US" w:eastAsia="zh-CN"/>
        </w:rPr>
        <w:t>(Low Power High Accuracy Positioning) service aims to perform high accuracy positioning while saving UE</w:t>
      </w:r>
      <w:r>
        <w:rPr>
          <w:rFonts w:ascii="Times New Roman" w:hAnsi="Times New Roman" w:eastAsia="宋体"/>
          <w:sz w:val="20"/>
          <w:szCs w:val="20"/>
          <w:lang w:val="en-US" w:eastAsia="zh-CN"/>
        </w:rPr>
        <w:t>’</w:t>
      </w:r>
      <w:r>
        <w:rPr>
          <w:rFonts w:hint="eastAsia" w:ascii="Times New Roman" w:hAnsi="Times New Roman" w:eastAsia="宋体"/>
          <w:sz w:val="20"/>
          <w:szCs w:val="20"/>
          <w:lang w:val="en-US" w:eastAsia="zh-CN"/>
        </w:rPr>
        <w:t>s power. According to TS22.104</w:t>
      </w:r>
      <w:r>
        <w:rPr>
          <w:rFonts w:ascii="Times New Roman" w:hAnsi="Times New Roman" w:eastAsia="宋体"/>
          <w:sz w:val="20"/>
          <w:szCs w:val="20"/>
          <w:lang w:val="en-US" w:eastAsia="zh-CN"/>
        </w:rPr>
        <w:t xml:space="preserve"> </w:t>
      </w:r>
      <w:r>
        <w:rPr>
          <w:rFonts w:hint="eastAsia" w:ascii="Times New Roman" w:hAnsi="Times New Roman" w:eastAsia="宋体"/>
          <w:sz w:val="20"/>
          <w:szCs w:val="20"/>
          <w:lang w:val="en-US" w:eastAsia="zh-CN"/>
        </w:rPr>
        <w:t>[2], the service is especially applied in warehousing</w:t>
      </w:r>
      <w:r>
        <w:rPr>
          <w:rFonts w:ascii="Times New Roman" w:hAnsi="Times New Roman" w:eastAsia="宋体"/>
          <w:sz w:val="20"/>
          <w:szCs w:val="20"/>
          <w:lang w:val="en-US" w:eastAsia="zh-CN"/>
        </w:rPr>
        <w:t>,</w:t>
      </w:r>
      <w:r>
        <w:rPr>
          <w:rFonts w:hint="eastAsia" w:ascii="Times New Roman" w:hAnsi="Times New Roman" w:eastAsia="宋体"/>
          <w:sz w:val="20"/>
          <w:szCs w:val="20"/>
          <w:lang w:val="en-US" w:eastAsia="zh-CN"/>
        </w:rPr>
        <w:t xml:space="preserve"> logistics processes, autonomous driving systems</w:t>
      </w:r>
      <w:r>
        <w:rPr>
          <w:rFonts w:ascii="Times New Roman" w:hAnsi="Times New Roman" w:eastAsia="宋体"/>
          <w:sz w:val="20"/>
          <w:szCs w:val="20"/>
          <w:lang w:val="en-US" w:eastAsia="zh-CN"/>
        </w:rPr>
        <w:t xml:space="preserve">, </w:t>
      </w:r>
      <w:r>
        <w:rPr>
          <w:rFonts w:hint="eastAsia" w:ascii="Times New Roman" w:hAnsi="Times New Roman" w:eastAsia="宋体"/>
          <w:sz w:val="20"/>
          <w:szCs w:val="20"/>
          <w:lang w:val="en-US" w:eastAsia="zh-CN"/>
        </w:rPr>
        <w:t xml:space="preserve">fleet management and flexible adaptation in production. The special kind of UE needs to </w:t>
      </w:r>
      <w:r>
        <w:rPr>
          <w:rFonts w:ascii="Times New Roman" w:hAnsi="Times New Roman" w:eastAsia="宋体"/>
          <w:sz w:val="20"/>
          <w:szCs w:val="20"/>
          <w:lang w:val="en-US" w:eastAsia="zh-CN"/>
        </w:rPr>
        <w:t xml:space="preserve">dedicatedly </w:t>
      </w:r>
      <w:r>
        <w:rPr>
          <w:rFonts w:hint="eastAsia" w:ascii="Times New Roman" w:hAnsi="Times New Roman" w:eastAsia="宋体"/>
          <w:sz w:val="20"/>
          <w:szCs w:val="20"/>
          <w:lang w:val="en-US" w:eastAsia="zh-CN"/>
        </w:rPr>
        <w:t xml:space="preserve">perform </w:t>
      </w:r>
      <w:r>
        <w:rPr>
          <w:rFonts w:ascii="Times New Roman" w:hAnsi="Times New Roman" w:eastAsia="宋体"/>
          <w:sz w:val="20"/>
          <w:szCs w:val="20"/>
          <w:lang w:val="en-US" w:eastAsia="zh-CN"/>
        </w:rPr>
        <w:t>these kind of</w:t>
      </w:r>
      <w:r>
        <w:rPr>
          <w:rFonts w:hint="eastAsia" w:ascii="Times New Roman" w:hAnsi="Times New Roman" w:eastAsia="宋体"/>
          <w:sz w:val="20"/>
          <w:szCs w:val="20"/>
          <w:lang w:val="en-US" w:eastAsia="zh-CN"/>
        </w:rPr>
        <w:t xml:space="preserve"> service</w:t>
      </w:r>
      <w:r>
        <w:rPr>
          <w:rFonts w:ascii="Times New Roman" w:hAnsi="Times New Roman" w:eastAsia="宋体"/>
          <w:sz w:val="20"/>
          <w:szCs w:val="20"/>
          <w:lang w:val="en-US" w:eastAsia="zh-CN"/>
        </w:rPr>
        <w:t>s with very low power consumption</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lang w:val="en-US" w:eastAsia="zh-CN"/>
        </w:rPr>
        <w:t>can be</w:t>
      </w:r>
      <w:r>
        <w:rPr>
          <w:rFonts w:hint="eastAsia" w:ascii="Times New Roman" w:hAnsi="Times New Roman" w:eastAsia="宋体"/>
          <w:sz w:val="20"/>
          <w:szCs w:val="20"/>
          <w:lang w:val="en-US" w:eastAsia="zh-CN"/>
        </w:rPr>
        <w:t xml:space="preserve"> called LPHAP UE, and the typical LPHAP UE includes tools or workpieces of autonomous driving systems, production machinery and assembly cells in the factory, smart meter or smart wearable devices</w:t>
      </w:r>
      <w:r>
        <w:rPr>
          <w:rFonts w:ascii="Times New Roman" w:hAnsi="Times New Roman" w:eastAsia="宋体"/>
          <w:sz w:val="20"/>
          <w:szCs w:val="20"/>
          <w:lang w:val="en-US" w:eastAsia="zh-CN"/>
        </w:rPr>
        <w:t>, etc</w:t>
      </w:r>
      <w:r>
        <w:rPr>
          <w:rFonts w:hint="eastAsia" w:ascii="Times New Roman" w:hAnsi="Times New Roman" w:eastAsia="宋体"/>
          <w:sz w:val="20"/>
          <w:szCs w:val="20"/>
          <w:lang w:val="en-US" w:eastAsia="zh-CN"/>
        </w:rPr>
        <w:t>. In order to reduce power consumption, network may need to relax some configuration for LPHAP UE, for example, reduce the configured number of TRPs/PFLs/PRS resources or configure concise measurement report (larger measurement report period or less requested report samples, etc.). In the consequence, it is necessary for the network to know whether the UE is a LPHAP UE. Basically, there are 2 solutions of LPHAP UE identification:</w:t>
      </w:r>
    </w:p>
    <w:p>
      <w:pPr>
        <w:pageBreakBefore w:val="0"/>
        <w:widowControl/>
        <w:numPr>
          <w:ilvl w:val="0"/>
          <w:numId w:val="7"/>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Direct-to-LMF solution</w:t>
      </w:r>
    </w:p>
    <w:p>
      <w:pPr>
        <w:pageBreakBefore w:val="0"/>
        <w:widowControl/>
        <w:numPr>
          <w:ilvl w:val="1"/>
          <w:numId w:val="7"/>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UE capability indicates it is a LPHAP UE, and is directly sent to LMF via LPP message. LMF identifies the LPHAP UE via the UE capability.</w:t>
      </w:r>
    </w:p>
    <w:p>
      <w:pPr>
        <w:pageBreakBefore w:val="0"/>
        <w:widowControl/>
        <w:numPr>
          <w:ilvl w:val="0"/>
          <w:numId w:val="8"/>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Direct-to-gNB solution</w:t>
      </w:r>
    </w:p>
    <w:p>
      <w:pPr>
        <w:pageBreakBefore w:val="0"/>
        <w:widowControl/>
        <w:numPr>
          <w:ilvl w:val="1"/>
          <w:numId w:val="7"/>
        </w:numPr>
        <w:kinsoku/>
        <w:wordWrap/>
        <w:topLinePunct w:val="0"/>
        <w:autoSpaceDE w:val="0"/>
        <w:autoSpaceDN w:val="0"/>
        <w:bidi w:val="0"/>
        <w:adjustRightInd w:val="0"/>
        <w:snapToGrid w:val="0"/>
        <w:spacing w:before="157" w:beforeLines="50" w:after="157" w:afterLines="50" w:line="240" w:lineRule="auto"/>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UE capability </w:t>
      </w:r>
      <w:r>
        <w:rPr>
          <w:rFonts w:ascii="Times New Roman" w:hAnsi="Times New Roman" w:eastAsia="宋体"/>
          <w:sz w:val="20"/>
          <w:szCs w:val="20"/>
          <w:lang w:val="en-US" w:eastAsia="zh-CN"/>
        </w:rPr>
        <w:t xml:space="preserve">signaling </w:t>
      </w:r>
      <w:r>
        <w:rPr>
          <w:rFonts w:hint="eastAsia" w:ascii="Times New Roman" w:hAnsi="Times New Roman" w:eastAsia="宋体"/>
          <w:sz w:val="20"/>
          <w:szCs w:val="20"/>
          <w:lang w:val="en-US" w:eastAsia="zh-CN"/>
        </w:rPr>
        <w:t>indicates it is a LPHAP UE, and is directly sent to serving gNB via RRC message. Serving gNB identifies the LPHAP UE via the UE capability.</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LMF surely needs to know the UE</w:t>
      </w:r>
      <w:r>
        <w:rPr>
          <w:rFonts w:ascii="Times New Roman" w:hAnsi="Times New Roman" w:eastAsia="宋体"/>
          <w:sz w:val="20"/>
          <w:szCs w:val="20"/>
          <w:lang w:val="en-US" w:eastAsia="zh-CN"/>
        </w:rPr>
        <w:t>’</w:t>
      </w:r>
      <w:r>
        <w:rPr>
          <w:rFonts w:hint="eastAsia" w:ascii="Times New Roman" w:hAnsi="Times New Roman" w:eastAsia="宋体"/>
          <w:sz w:val="20"/>
          <w:szCs w:val="20"/>
          <w:lang w:val="en-US" w:eastAsia="zh-CN"/>
        </w:rPr>
        <w:t>s attribute to relax positioning configurations properly, as all the PRS configuration transmitted to UE is determined by LMF; Moreover, it is also useful for serving gNB to acquire LPHAP UE</w:t>
      </w:r>
      <w:r>
        <w:rPr>
          <w:rFonts w:ascii="Times New Roman" w:hAnsi="Times New Roman" w:eastAsia="宋体"/>
          <w:sz w:val="20"/>
          <w:szCs w:val="20"/>
          <w:lang w:val="en-US" w:eastAsia="zh-CN"/>
        </w:rPr>
        <w:t>’</w:t>
      </w:r>
      <w:r>
        <w:rPr>
          <w:rFonts w:hint="eastAsia" w:ascii="Times New Roman" w:hAnsi="Times New Roman" w:eastAsia="宋体"/>
          <w:sz w:val="20"/>
          <w:szCs w:val="20"/>
          <w:lang w:val="en-US" w:eastAsia="zh-CN"/>
        </w:rPr>
        <w:t xml:space="preserve">s capability, for example, release/resume LPHAP UE for state </w:t>
      </w:r>
      <w:r>
        <w:rPr>
          <w:rFonts w:ascii="Times New Roman" w:hAnsi="Times New Roman" w:eastAsia="宋体"/>
          <w:sz w:val="20"/>
          <w:szCs w:val="20"/>
          <w:lang w:val="en-US" w:eastAsia="zh-CN"/>
        </w:rPr>
        <w:t>transition</w:t>
      </w:r>
      <w:r>
        <w:rPr>
          <w:rFonts w:hint="eastAsia" w:ascii="Times New Roman" w:hAnsi="Times New Roman" w:eastAsia="宋体"/>
          <w:sz w:val="20"/>
          <w:szCs w:val="20"/>
          <w:lang w:val="en-US" w:eastAsia="zh-CN"/>
        </w:rPr>
        <w:t>, configure suitable paging cycle or SRS/PRS configuration for LPHAP UEs in RRC_INACTIVE, configure PRS reception window in RRC INACTIVE, etc. Therefore,</w:t>
      </w:r>
      <w:r>
        <w:rPr>
          <w:rFonts w:ascii="Times New Roman" w:hAnsi="Times New Roman" w:eastAsia="宋体"/>
          <w:sz w:val="20"/>
          <w:szCs w:val="20"/>
          <w:lang w:val="en-US" w:eastAsia="zh-CN"/>
        </w:rPr>
        <w:t xml:space="preserve"> </w:t>
      </w:r>
      <w:r>
        <w:rPr>
          <w:rFonts w:hint="eastAsia" w:ascii="Times New Roman" w:hAnsi="Times New Roman" w:eastAsia="宋体"/>
          <w:sz w:val="20"/>
          <w:szCs w:val="20"/>
          <w:lang w:val="en-US" w:eastAsia="zh-CN"/>
        </w:rPr>
        <w:t>the direct-to-LMF solution and/or direct-to-gNB solution should be supported, based on the specific enhancements.</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eastAsia="宋体"/>
          <w:sz w:val="20"/>
          <w:szCs w:val="20"/>
          <w:lang w:val="en-US" w:eastAsia="zh-CN"/>
        </w:rPr>
      </w:pPr>
      <w:r>
        <w:rPr>
          <w:rFonts w:hint="eastAsia" w:ascii="Times New Roman" w:hAnsi="Times New Roman" w:eastAsia="宋体"/>
          <w:b/>
          <w:bCs/>
          <w:i/>
          <w:iCs/>
          <w:sz w:val="20"/>
          <w:szCs w:val="20"/>
          <w:lang w:val="en-US" w:eastAsia="zh-CN"/>
        </w:rPr>
        <w:t>Observation 1: It is necessary for NG-RAN node and/or LMF to know the UE is a LPHAP UE in order to configure special configurations with power saving feature.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eastAsia="宋体"/>
          <w:b/>
          <w:bCs/>
          <w:i/>
          <w:iCs/>
          <w:sz w:val="20"/>
          <w:szCs w:val="20"/>
          <w:lang w:val="en-US" w:eastAsia="zh-CN"/>
        </w:rPr>
      </w:pPr>
      <w:r>
        <w:rPr>
          <w:rFonts w:hint="eastAsia" w:ascii="Times New Roman" w:hAnsi="Times New Roman" w:eastAsia="宋体"/>
          <w:b/>
          <w:bCs/>
          <w:i/>
          <w:iCs/>
          <w:sz w:val="20"/>
          <w:szCs w:val="20"/>
          <w:lang w:val="en-US" w:eastAsia="zh-CN"/>
        </w:rPr>
        <w:t xml:space="preserve">Proposal 1: Support LPHAP UE to send its capability directly to LMF </w:t>
      </w:r>
      <w:r>
        <w:rPr>
          <w:rFonts w:ascii="Times New Roman" w:hAnsi="Times New Roman" w:eastAsia="宋体"/>
          <w:b/>
          <w:bCs/>
          <w:i/>
          <w:iCs/>
          <w:sz w:val="20"/>
          <w:szCs w:val="20"/>
          <w:lang w:val="en-US" w:eastAsia="zh-CN"/>
        </w:rPr>
        <w:t>and</w:t>
      </w:r>
      <w:r>
        <w:rPr>
          <w:rFonts w:hint="eastAsia" w:ascii="Times New Roman" w:hAnsi="Times New Roman" w:eastAsia="宋体"/>
          <w:b/>
          <w:bCs/>
          <w:i/>
          <w:iCs/>
          <w:sz w:val="20"/>
          <w:szCs w:val="20"/>
          <w:lang w:val="en-US" w:eastAsia="zh-CN"/>
        </w:rPr>
        <w:t xml:space="preserve">/or gNB for identification, based on the specific enhancements.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SA2</w:t>
      </w:r>
      <w:r>
        <w:rPr>
          <w:rFonts w:hint="default" w:ascii="Times New Roman" w:hAnsi="Times New Roman" w:eastAsia="宋体"/>
          <w:sz w:val="20"/>
          <w:szCs w:val="20"/>
          <w:lang w:val="en-US" w:eastAsia="zh-CN"/>
        </w:rPr>
        <w:t>’</w:t>
      </w:r>
      <w:r>
        <w:rPr>
          <w:rFonts w:hint="eastAsia" w:ascii="Times New Roman" w:hAnsi="Times New Roman" w:eastAsia="宋体"/>
          <w:sz w:val="20"/>
          <w:szCs w:val="20"/>
          <w:lang w:val="en-US" w:eastAsia="zh-CN"/>
        </w:rPr>
        <w:t>s LS S2-2209591[3] asked RAN WG that whether LPHAP UE indication should be provided to NG-RAN node at early stage:</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eastAsia="宋体"/>
                <w:sz w:val="20"/>
                <w:szCs w:val="20"/>
                <w:vertAlign w:val="baseline"/>
                <w:lang w:val="en-US" w:eastAsia="zh-CN"/>
              </w:rPr>
            </w:pPr>
            <w:r>
              <w:rPr>
                <w:rFonts w:hint="default" w:ascii="Times New Roman" w:hAnsi="Times New Roman" w:eastAsia="宋体"/>
                <w:sz w:val="20"/>
                <w:szCs w:val="20"/>
                <w:vertAlign w:val="baseline"/>
                <w:lang w:val="en-US" w:eastAsia="zh-CN"/>
              </w:rPr>
              <w:t>SA2 has concluded the following principles: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eastAsia="宋体"/>
                <w:sz w:val="20"/>
                <w:szCs w:val="20"/>
                <w:vertAlign w:val="baseline"/>
                <w:lang w:val="en-US" w:eastAsia="zh-CN"/>
              </w:rPr>
            </w:pPr>
            <w:r>
              <w:rPr>
                <w:rFonts w:hint="default" w:ascii="Times New Roman" w:hAnsi="Times New Roman" w:eastAsia="宋体"/>
                <w:sz w:val="20"/>
                <w:szCs w:val="20"/>
                <w:vertAlign w:val="baseline"/>
                <w:lang w:val="en-US" w:eastAsia="zh-CN"/>
              </w:rPr>
              <w:t>-During the positioning procedure, AMF provides the LPHAP indication to the LMF, either obtaining from the GMLC, or in the UE LCS context which received during UE registration procedure.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eastAsia="宋体"/>
                <w:sz w:val="20"/>
                <w:szCs w:val="20"/>
                <w:vertAlign w:val="baseline"/>
                <w:lang w:val="en-US" w:eastAsia="zh-CN"/>
              </w:rPr>
            </w:pPr>
            <w:r>
              <w:rPr>
                <w:rFonts w:hint="default" w:ascii="Times New Roman" w:hAnsi="Times New Roman" w:eastAsia="宋体"/>
                <w:sz w:val="20"/>
                <w:szCs w:val="20"/>
                <w:vertAlign w:val="baseline"/>
                <w:lang w:val="en-US" w:eastAsia="zh-CN"/>
              </w:rPr>
              <w:t>-LMF is enhanced to receive from AMF of the LPHAP indication in the location request, and determine positioning method, by taking into account the LPHAP requirement. LMF also sends LPHAP indication to RAN in the NRPPa message.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eastAsia="宋体"/>
                <w:sz w:val="20"/>
                <w:szCs w:val="20"/>
                <w:vertAlign w:val="baseline"/>
                <w:lang w:val="en-US" w:eastAsia="zh-CN"/>
              </w:rPr>
            </w:pPr>
            <w:r>
              <w:rPr>
                <w:rFonts w:hint="default" w:ascii="Times New Roman" w:hAnsi="Times New Roman" w:eastAsia="宋体"/>
                <w:sz w:val="20"/>
                <w:szCs w:val="20"/>
                <w:vertAlign w:val="baseline"/>
                <w:lang w:val="en-US" w:eastAsia="zh-CN"/>
              </w:rPr>
              <w:t>SA2 kindly asks RAN WG, is it necessary to provide LPHAP indication to RAN at an earlier time, before positioning procedure is triggered?</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This means the LPHAP UE will have its own identification, which will be stored in the UE LCS context after UE registration procedure. AMF will tell LMF this identification when the positioning request of this LPHAP UE is arrived at LMF side. We think it is ok for gNB to know the LPHAP indication at earlier time, but it is not necessary/mandatory. gNB knows the LPHAP indication to provide specific power saving related configuration for the LPHAP UE, therefore it is ok to know the LPHAP UE indication just before the gNB configures the power saving related configuration, during the positioning procedure. However, we think it is not necessary for LMF to provide LPHAP indication to gNB via NRPPa message, due to the following reasons:</w:t>
      </w:r>
    </w:p>
    <w:p>
      <w:pPr>
        <w:pageBreakBefore w:val="0"/>
        <w:widowControl/>
        <w:numPr>
          <w:ilvl w:val="0"/>
          <w:numId w:val="9"/>
        </w:numPr>
        <w:kinsoku/>
        <w:wordWrap/>
        <w:topLinePunct w:val="0"/>
        <w:autoSpaceDE w:val="0"/>
        <w:autoSpaceDN w:val="0"/>
        <w:bidi w:val="0"/>
        <w:adjustRightInd w:val="0"/>
        <w:snapToGrid w:val="0"/>
        <w:spacing w:before="157" w:beforeLines="50" w:after="157" w:afterLines="50" w:line="240" w:lineRule="auto"/>
        <w:ind w:left="420" w:leftChars="0" w:hanging="420" w:firstLineChars="0"/>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If gNB needs to know the LPHAP indication at earlier time, the LPHAP indication can not be carried in NRPPa message since there is no NRPPa message before the positioning procedure is triggered. gNB can have the LPHAP indication by UE capability report or NGAP message from AMF.</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eastAsia="宋体"/>
          <w:sz w:val="20"/>
          <w:szCs w:val="20"/>
          <w:lang w:val="en-US" w:eastAsia="zh-CN"/>
        </w:rPr>
      </w:pPr>
      <w:r>
        <w:rPr>
          <w:rFonts w:hint="eastAsia" w:ascii="Times New Roman" w:hAnsi="Times New Roman" w:eastAsia="宋体"/>
          <w:b/>
          <w:bCs/>
          <w:i/>
          <w:iCs/>
          <w:sz w:val="20"/>
          <w:szCs w:val="20"/>
          <w:lang w:val="en-US" w:eastAsia="zh-CN"/>
        </w:rPr>
        <w:t xml:space="preserve">Observation 2: If NG-RAN node requires the LPHAP indication at earlier time, there is no NRPPa message, not to say using NRPPa to convey LPHAP indication. </w:t>
      </w:r>
    </w:p>
    <w:p>
      <w:pPr>
        <w:pageBreakBefore w:val="0"/>
        <w:widowControl/>
        <w:numPr>
          <w:ilvl w:val="0"/>
          <w:numId w:val="9"/>
        </w:numPr>
        <w:kinsoku/>
        <w:wordWrap/>
        <w:topLinePunct w:val="0"/>
        <w:autoSpaceDE w:val="0"/>
        <w:autoSpaceDN w:val="0"/>
        <w:bidi w:val="0"/>
        <w:adjustRightInd w:val="0"/>
        <w:snapToGrid w:val="0"/>
        <w:spacing w:before="157" w:beforeLines="50" w:after="157" w:afterLines="50" w:line="240" w:lineRule="auto"/>
        <w:ind w:left="420" w:leftChars="0" w:hanging="420" w:firstLineChars="0"/>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If gNB does not need to know the LPHAP indication at earlier time, gNB should know the LPHAP UE indication just before the gNB configures the power saving related configuration, during the positioning procedure. In this case, LMF sends LPHAP indication in specific NRPPa message is theoretically feasible. However this is not a normal design for NRPPa message to contain UE identification/indiaction. Furthermore, as specified in 38.413[4], the NRPPa message, which is part of the NGAP message(between gNB and AMF), can distinguish the UE associated signaling and non-UE associated signaling:</w:t>
      </w:r>
    </w:p>
    <w:tbl>
      <w:tblPr>
        <w:tblStyle w:val="58"/>
        <w:tblW w:w="8577" w:type="dxa"/>
        <w:tblInd w:w="5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77" w:type="dxa"/>
          </w:tcPr>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eastAsia="宋体"/>
                <w:sz w:val="20"/>
                <w:szCs w:val="20"/>
                <w:vertAlign w:val="baseline"/>
                <w:lang w:val="en-US" w:eastAsia="zh-CN"/>
              </w:rPr>
            </w:pPr>
            <w:r>
              <w:rPr>
                <w:rFonts w:hint="eastAsia" w:ascii="Times New Roman" w:hAnsi="Times New Roman" w:eastAsia="宋体"/>
                <w:sz w:val="20"/>
                <w:szCs w:val="20"/>
                <w:vertAlign w:val="baseline"/>
                <w:lang w:val="en-US" w:eastAsia="zh-CN"/>
              </w:rPr>
              <w:t>TS 38.413, section 8.1:</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eastAsia="宋体"/>
                <w:sz w:val="20"/>
                <w:szCs w:val="20"/>
                <w:vertAlign w:val="baseline"/>
                <w:lang w:val="en-US" w:eastAsia="zh-CN"/>
              </w:rPr>
            </w:pPr>
            <w:r>
              <w:rPr>
                <w:rFonts w:hint="default" w:ascii="Times New Roman" w:hAnsi="Times New Roman" w:eastAsia="宋体"/>
                <w:sz w:val="20"/>
                <w:szCs w:val="20"/>
                <w:vertAlign w:val="baseline"/>
                <w:lang w:val="en-US" w:eastAsia="zh-CN"/>
              </w:rPr>
              <w:t>The Downlink UE Associated NRPPa Transport procedure and the Uplink UE Associated NRPPa Transport procedure use UE-associated signalling. The UE-associated signalling is used to support E-CID Location Information Transfer, Positioning Information Transfer, Measurement Preconfiguration Information Transfer, and Reporting of General Error Situations due to reception of an NRPPa message that utilized UE-associated signalling.</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eastAsia="宋体"/>
                <w:sz w:val="20"/>
                <w:szCs w:val="20"/>
                <w:vertAlign w:val="baseline"/>
                <w:lang w:val="en-US" w:eastAsia="zh-CN"/>
              </w:rPr>
            </w:pPr>
            <w:r>
              <w:rPr>
                <w:rFonts w:hint="default" w:ascii="Times New Roman" w:hAnsi="Times New Roman" w:eastAsia="宋体"/>
                <w:sz w:val="20"/>
                <w:szCs w:val="20"/>
                <w:vertAlign w:val="baseline"/>
                <w:lang w:val="en-US" w:eastAsia="zh-CN"/>
              </w:rPr>
              <w:t>The Downlink Non UE Associated NRPPa Transport procedure and the Uplink Non UE Associated NRPPa Transport procedure use non-UE associated signalling. The non-UE associated signalling is used to support OTDOA Information Transfer, Assistance Information Transfer, TRP Information Transfer, Measurement Information Transfer, PRS Information Transfer, and Reporting of General Error Situations due to reception of an NRPPa message that utilized non-UE associated signalling.</w:t>
            </w:r>
          </w:p>
        </w:tc>
      </w:tr>
    </w:tbl>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420" w:leftChars="0"/>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Through UE associated signaling, gNB can also know the UE identification/information, and gNB will ensure the power saving related configuration is for the specific LPHAP UE. Therefore, setting the LPHAP related NRPPa signaling to UE associated signaling is enough, we should avoid to configure LPHAP indication in the NRPPa message.</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eastAsia="宋体"/>
          <w:b/>
          <w:bCs/>
          <w:i/>
          <w:iCs/>
          <w:sz w:val="20"/>
          <w:szCs w:val="20"/>
          <w:lang w:val="en-US" w:eastAsia="zh-CN"/>
        </w:rPr>
      </w:pPr>
      <w:r>
        <w:rPr>
          <w:rFonts w:hint="eastAsia" w:ascii="Times New Roman" w:hAnsi="Times New Roman" w:eastAsia="宋体"/>
          <w:b/>
          <w:bCs/>
          <w:i/>
          <w:iCs/>
          <w:sz w:val="20"/>
          <w:szCs w:val="20"/>
          <w:lang w:val="en-US" w:eastAsia="zh-CN"/>
        </w:rPr>
        <w:t>Observation 3: If NG-RAN node requires the LPHAP indication during the positioning procedure, LPHAP indication in NRPPa message is not a normal design. Furthermore, NG-RAN node can also know the LPHAP indication via the UE associated signaling.</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To sum up, we think UE capability report and NGAP message from AMF can already let gNB know the LPHAP indication at earlier time (before positioning procedure is triggered). There is no need for LMF to tell gNB the LPHAP indication via NRPPa message.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The draft reply LS to S2-2209591 is also shown in section 2.4.</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eastAsia="宋体"/>
          <w:b/>
          <w:bCs/>
          <w:i/>
          <w:iCs/>
          <w:sz w:val="20"/>
          <w:szCs w:val="20"/>
          <w:lang w:val="en-US" w:eastAsia="zh-CN"/>
        </w:rPr>
      </w:pPr>
      <w:r>
        <w:rPr>
          <w:rFonts w:hint="eastAsia" w:ascii="Times New Roman" w:hAnsi="Times New Roman" w:eastAsia="宋体"/>
          <w:b/>
          <w:bCs/>
          <w:i/>
          <w:iCs/>
          <w:sz w:val="20"/>
          <w:szCs w:val="20"/>
          <w:lang w:val="en-US" w:eastAsia="zh-CN"/>
        </w:rPr>
        <w:t>Proposal 2: Do not support LPHAP indication embedded in NRPPa message, no matter NG-RAN node requires the LPHAP indication at earlier time or during the positioning procedure.</w:t>
      </w:r>
    </w:p>
    <w:p>
      <w:pPr>
        <w:pStyle w:val="3"/>
        <w:pageBreakBefore w:val="0"/>
        <w:numPr>
          <w:ilvl w:val="1"/>
          <w:numId w:val="5"/>
        </w:numPr>
        <w:kinsoku/>
        <w:wordWrap/>
        <w:topLinePunct w:val="0"/>
        <w:bidi w:val="0"/>
        <w:adjustRightInd w:val="0"/>
        <w:snapToGrid w:val="0"/>
        <w:spacing w:before="157" w:beforeLines="50" w:after="157" w:afterLines="50" w:line="240" w:lineRule="auto"/>
        <w:rPr>
          <w:sz w:val="24"/>
          <w:szCs w:val="28"/>
          <w:lang w:val="en-US" w:eastAsia="zh-CN"/>
        </w:rPr>
      </w:pPr>
      <w:r>
        <w:rPr>
          <w:rFonts w:hint="eastAsia"/>
          <w:sz w:val="24"/>
          <w:szCs w:val="28"/>
          <w:lang w:val="en-US" w:eastAsia="zh-CN"/>
        </w:rPr>
        <w:t xml:space="preserve"> UL/DL+UL positioning enhancement for LPHAP</w:t>
      </w:r>
    </w:p>
    <w:p>
      <w:pPr>
        <w:pageBreakBefore w:val="0"/>
        <w:widowControl/>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 xml:space="preserve">The SRS configuration for RRC_INACTIVE is only restricted in the serving cell that the UE connects lastly. If </w:t>
      </w:r>
      <w:r>
        <w:rPr>
          <w:rFonts w:ascii="Times New Roman" w:hAnsi="Times New Roman"/>
          <w:sz w:val="20"/>
          <w:szCs w:val="20"/>
          <w:lang w:val="en-US" w:eastAsia="zh-CN"/>
        </w:rPr>
        <w:t xml:space="preserve">inactive </w:t>
      </w:r>
      <w:r>
        <w:rPr>
          <w:rFonts w:hint="eastAsia" w:ascii="Times New Roman" w:hAnsi="Times New Roman"/>
          <w:sz w:val="20"/>
          <w:szCs w:val="20"/>
          <w:lang w:val="en-US" w:eastAsia="zh-CN"/>
        </w:rPr>
        <w:t>UE moves to another cell and cell re-selection is performed</w:t>
      </w:r>
      <w:r>
        <w:rPr>
          <w:rFonts w:ascii="Times New Roman" w:hAnsi="Times New Roman"/>
          <w:sz w:val="20"/>
          <w:szCs w:val="20"/>
          <w:lang w:val="en-US" w:eastAsia="zh-CN"/>
        </w:rPr>
        <w:t xml:space="preserve"> (like figure </w:t>
      </w:r>
      <w:r>
        <w:rPr>
          <w:rFonts w:hint="eastAsia" w:ascii="Times New Roman" w:hAnsi="Times New Roman"/>
          <w:sz w:val="20"/>
          <w:szCs w:val="20"/>
          <w:lang w:val="en-US" w:eastAsia="zh-CN"/>
        </w:rPr>
        <w:t>1</w:t>
      </w:r>
      <w:r>
        <w:rPr>
          <w:rFonts w:ascii="Times New Roman" w:hAnsi="Times New Roman"/>
          <w:sz w:val="20"/>
          <w:szCs w:val="20"/>
          <w:lang w:val="en-US" w:eastAsia="zh-CN"/>
        </w:rPr>
        <w:t xml:space="preserve"> indicates)</w:t>
      </w:r>
      <w:r>
        <w:rPr>
          <w:rFonts w:hint="eastAsia" w:ascii="Times New Roman" w:hAnsi="Times New Roman"/>
          <w:sz w:val="20"/>
          <w:szCs w:val="20"/>
          <w:lang w:val="en-US" w:eastAsia="zh-CN"/>
        </w:rPr>
        <w:t xml:space="preserve"> while UE still needs positioning (which is very likely to happen in a large factory area as use</w:t>
      </w:r>
      <w:r>
        <w:rPr>
          <w:rFonts w:ascii="Times New Roman" w:hAnsi="Times New Roman"/>
          <w:sz w:val="20"/>
          <w:szCs w:val="20"/>
          <w:lang w:val="en-US" w:eastAsia="zh-CN"/>
        </w:rPr>
        <w:t xml:space="preserve"> </w:t>
      </w:r>
      <w:r>
        <w:rPr>
          <w:rFonts w:hint="eastAsia" w:ascii="Times New Roman" w:hAnsi="Times New Roman"/>
          <w:sz w:val="20"/>
          <w:szCs w:val="20"/>
          <w:lang w:val="en-US" w:eastAsia="zh-CN"/>
        </w:rPr>
        <w:t xml:space="preserve">case 6 indicates), UE has to </w:t>
      </w:r>
      <w:r>
        <w:rPr>
          <w:rFonts w:ascii="Times New Roman" w:hAnsi="Times New Roman"/>
          <w:sz w:val="20"/>
          <w:szCs w:val="20"/>
          <w:lang w:val="en-US" w:eastAsia="zh-CN"/>
        </w:rPr>
        <w:t>transition</w:t>
      </w:r>
      <w:r>
        <w:rPr>
          <w:rFonts w:hint="eastAsia" w:ascii="Times New Roman" w:hAnsi="Times New Roman"/>
          <w:sz w:val="20"/>
          <w:szCs w:val="20"/>
          <w:lang w:val="en-US" w:eastAsia="zh-CN"/>
        </w:rPr>
        <w:t xml:space="preserve"> to RRC_CONNECTED to receive new SRS configuration embedded in RRC reconfiguration every time UE performs cell re-selection. </w:t>
      </w:r>
      <w:r>
        <w:rPr>
          <w:rFonts w:ascii="Times New Roman" w:hAnsi="Times New Roman"/>
          <w:sz w:val="20"/>
          <w:szCs w:val="20"/>
          <w:lang w:val="en-US" w:eastAsia="zh-CN"/>
        </w:rPr>
        <w:t>T</w:t>
      </w:r>
      <w:r>
        <w:rPr>
          <w:rFonts w:hint="eastAsia" w:ascii="Times New Roman" w:hAnsi="Times New Roman"/>
          <w:sz w:val="20"/>
          <w:szCs w:val="20"/>
          <w:lang w:val="en-US" w:eastAsia="zh-CN"/>
        </w:rPr>
        <w:t>he frequent</w:t>
      </w:r>
      <w:r>
        <w:rPr>
          <w:rFonts w:ascii="Times New Roman" w:hAnsi="Times New Roman"/>
          <w:sz w:val="20"/>
          <w:szCs w:val="20"/>
          <w:lang w:val="en-US" w:eastAsia="zh-CN"/>
        </w:rPr>
        <w:t xml:space="preserve"> UE RRC</w:t>
      </w:r>
      <w:r>
        <w:rPr>
          <w:rFonts w:hint="eastAsia" w:ascii="Times New Roman" w:hAnsi="Times New Roman"/>
          <w:sz w:val="20"/>
          <w:szCs w:val="20"/>
          <w:lang w:val="en-US" w:eastAsia="zh-CN"/>
        </w:rPr>
        <w:t xml:space="preserve"> state transition will lead to a huge power waste. Therefore, Rel-18 should further enhance the UE mobility of UL positioning in RRC_INACTIVE, in order to ensure the low power consumption.</w:t>
      </w:r>
      <w:r>
        <w:rPr>
          <w:rFonts w:ascii="Times New Roman" w:hAnsi="Times New Roman"/>
          <w:sz w:val="20"/>
          <w:szCs w:val="20"/>
          <w:lang w:val="en-US" w:eastAsia="zh-CN"/>
        </w:rPr>
        <w:t xml:space="preserve"> </w:t>
      </w:r>
    </w:p>
    <w:p>
      <w:pPr>
        <w:pageBreakBefore w:val="0"/>
        <w:widowControl/>
        <w:kinsoku/>
        <w:wordWrap/>
        <w:topLinePunct w:val="0"/>
        <w:autoSpaceDE w:val="0"/>
        <w:autoSpaceDN w:val="0"/>
        <w:bidi w:val="0"/>
        <w:adjustRightInd w:val="0"/>
        <w:snapToGrid w:val="0"/>
        <w:spacing w:before="157" w:beforeLines="50" w:after="157" w:afterLines="50" w:line="240" w:lineRule="auto"/>
        <w:jc w:val="center"/>
        <w:rPr>
          <w:rFonts w:ascii="Times New Roman" w:hAnsi="Times New Roman"/>
          <w:sz w:val="20"/>
          <w:szCs w:val="20"/>
          <w:lang w:val="en-US" w:eastAsia="zh-CN"/>
        </w:rPr>
      </w:pPr>
      <w:r>
        <w:rPr>
          <w:rFonts w:hint="eastAsia" w:ascii="Times New Roman" w:hAnsi="Times New Roman"/>
          <w:sz w:val="20"/>
          <w:szCs w:val="20"/>
          <w:lang w:val="en-US" w:eastAsia="zh-CN"/>
        </w:rPr>
        <w:drawing>
          <wp:inline distT="0" distB="0" distL="0" distR="0">
            <wp:extent cx="3311525" cy="1567180"/>
            <wp:effectExtent l="0" t="0" r="3175" b="139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312000" cy="1567433"/>
                    </a:xfrm>
                    <a:prstGeom prst="rect">
                      <a:avLst/>
                    </a:prstGeom>
                  </pic:spPr>
                </pic:pic>
              </a:graphicData>
            </a:graphic>
          </wp:inline>
        </w:drawing>
      </w:r>
    </w:p>
    <w:p>
      <w:pPr>
        <w:pageBreakBefore w:val="0"/>
        <w:widowControl/>
        <w:kinsoku/>
        <w:wordWrap/>
        <w:topLinePunct w:val="0"/>
        <w:autoSpaceDE w:val="0"/>
        <w:autoSpaceDN w:val="0"/>
        <w:bidi w:val="0"/>
        <w:adjustRightInd w:val="0"/>
        <w:snapToGrid w:val="0"/>
        <w:spacing w:before="157" w:beforeLines="50" w:after="157" w:afterLines="50" w:line="240" w:lineRule="auto"/>
        <w:jc w:val="center"/>
        <w:rPr>
          <w:rFonts w:ascii="Times New Roman" w:hAnsi="Times New Roman"/>
          <w:sz w:val="20"/>
          <w:szCs w:val="20"/>
          <w:lang w:val="en-US" w:eastAsia="zh-CN"/>
        </w:rPr>
      </w:pPr>
      <w:r>
        <w:rPr>
          <w:rFonts w:ascii="Times New Roman" w:hAnsi="Times New Roman"/>
          <w:sz w:val="20"/>
          <w:szCs w:val="20"/>
          <w:lang w:val="en-US" w:eastAsia="zh-CN"/>
        </w:rPr>
        <w:t>F</w:t>
      </w:r>
      <w:r>
        <w:rPr>
          <w:rFonts w:hint="eastAsia" w:ascii="Times New Roman" w:hAnsi="Times New Roman"/>
          <w:sz w:val="20"/>
          <w:szCs w:val="20"/>
          <w:lang w:val="en-US" w:eastAsia="zh-CN"/>
        </w:rPr>
        <w:t>igure 1</w:t>
      </w:r>
      <w:r>
        <w:rPr>
          <w:rFonts w:ascii="Times New Roman" w:hAnsi="Times New Roman"/>
          <w:sz w:val="20"/>
          <w:szCs w:val="20"/>
          <w:lang w:val="en-US" w:eastAsia="zh-CN"/>
        </w:rPr>
        <w:t>. SRS mobility in RRC_INACTIVE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In RAN2#119-bis meeting[5], several solutions are discussed towards the SRS mobility as below:</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vertAlign w:val="baseline"/>
                <w:lang w:val="en-US" w:eastAsia="zh-CN"/>
              </w:rPr>
            </w:pPr>
            <w:r>
              <w:rPr>
                <w:rFonts w:hint="eastAsia" w:ascii="Times New Roman" w:hAnsi="Times New Roman"/>
                <w:sz w:val="20"/>
                <w:szCs w:val="20"/>
                <w:vertAlign w:val="baseline"/>
                <w:lang w:val="en-US" w:eastAsia="zh-CN"/>
              </w:rPr>
              <w:t>Agreement:</w:t>
            </w:r>
          </w:p>
          <w:p>
            <w:pPr>
              <w:pageBreakBefore w:val="0"/>
              <w:widowControl/>
              <w:numPr>
                <w:ilvl w:val="0"/>
                <w:numId w:val="1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vertAlign w:val="baseline"/>
                <w:lang w:val="en-US" w:eastAsia="zh-CN"/>
              </w:rPr>
            </w:pPr>
            <w:r>
              <w:rPr>
                <w:rFonts w:hint="eastAsia" w:ascii="Times New Roman" w:hAnsi="Times New Roman"/>
                <w:sz w:val="20"/>
                <w:szCs w:val="20"/>
                <w:vertAlign w:val="baseline"/>
                <w:lang w:val="en-US" w:eastAsia="zh-CN"/>
              </w:rPr>
              <w:t>RAN2 agree to study enhancements on SRS configuration (12/15). Further study the following candidate enhancements on SRS configuration, including the possible interference and changes of spatial relations problems.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vertAlign w:val="baseline"/>
                <w:lang w:val="en-US" w:eastAsia="zh-CN"/>
              </w:rPr>
            </w:pPr>
            <w:r>
              <w:rPr>
                <w:rFonts w:hint="eastAsia" w:ascii="Times New Roman" w:hAnsi="Times New Roman"/>
                <w:sz w:val="20"/>
                <w:szCs w:val="20"/>
                <w:vertAlign w:val="baseline"/>
                <w:lang w:val="en-US" w:eastAsia="zh-CN"/>
              </w:rPr>
              <w:t>-</w:t>
            </w:r>
            <w:r>
              <w:rPr>
                <w:rFonts w:hint="eastAsia" w:ascii="Times New Roman" w:hAnsi="Times New Roman"/>
                <w:sz w:val="20"/>
                <w:szCs w:val="20"/>
                <w:vertAlign w:val="baseline"/>
                <w:lang w:val="en-US" w:eastAsia="zh-CN"/>
              </w:rPr>
              <w:tab/>
            </w:r>
            <w:r>
              <w:rPr>
                <w:rFonts w:hint="eastAsia" w:ascii="Times New Roman" w:hAnsi="Times New Roman"/>
                <w:sz w:val="20"/>
                <w:szCs w:val="20"/>
                <w:vertAlign w:val="baseline"/>
                <w:lang w:val="en-US" w:eastAsia="zh-CN"/>
              </w:rPr>
              <w:t>a) Validity area mechanism; (12/13)</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vertAlign w:val="baseline"/>
                <w:lang w:val="en-US" w:eastAsia="zh-CN"/>
              </w:rPr>
            </w:pPr>
            <w:r>
              <w:rPr>
                <w:rFonts w:hint="eastAsia" w:ascii="Times New Roman" w:hAnsi="Times New Roman"/>
                <w:sz w:val="20"/>
                <w:szCs w:val="20"/>
                <w:vertAlign w:val="baseline"/>
                <w:lang w:val="en-US" w:eastAsia="zh-CN"/>
              </w:rPr>
              <w:t>-</w:t>
            </w:r>
            <w:r>
              <w:rPr>
                <w:rFonts w:hint="eastAsia" w:ascii="Times New Roman" w:hAnsi="Times New Roman"/>
                <w:sz w:val="20"/>
                <w:szCs w:val="20"/>
                <w:vertAlign w:val="baseline"/>
                <w:lang w:val="en-US" w:eastAsia="zh-CN"/>
              </w:rPr>
              <w:tab/>
            </w:r>
            <w:r>
              <w:rPr>
                <w:rFonts w:hint="eastAsia" w:ascii="Times New Roman" w:hAnsi="Times New Roman"/>
                <w:sz w:val="20"/>
                <w:szCs w:val="20"/>
                <w:vertAlign w:val="baseline"/>
                <w:lang w:val="en-US" w:eastAsia="zh-CN"/>
              </w:rPr>
              <w:t>b) SRS update mechanism; (10/13)</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vertAlign w:val="baseline"/>
                <w:lang w:val="en-US" w:eastAsia="zh-CN"/>
              </w:rPr>
            </w:pPr>
            <w:r>
              <w:rPr>
                <w:rFonts w:hint="eastAsia" w:ascii="Times New Roman" w:hAnsi="Times New Roman"/>
                <w:sz w:val="20"/>
                <w:szCs w:val="20"/>
                <w:vertAlign w:val="baseline"/>
                <w:lang w:val="en-US" w:eastAsia="zh-CN"/>
              </w:rPr>
              <w:t>-</w:t>
            </w:r>
            <w:r>
              <w:rPr>
                <w:rFonts w:hint="eastAsia" w:ascii="Times New Roman" w:hAnsi="Times New Roman"/>
                <w:sz w:val="20"/>
                <w:szCs w:val="20"/>
                <w:vertAlign w:val="baseline"/>
                <w:lang w:val="en-US" w:eastAsia="zh-CN"/>
              </w:rPr>
              <w:tab/>
            </w:r>
            <w:r>
              <w:rPr>
                <w:rFonts w:hint="eastAsia" w:ascii="Times New Roman" w:hAnsi="Times New Roman"/>
                <w:sz w:val="20"/>
                <w:szCs w:val="20"/>
                <w:vertAlign w:val="baseline"/>
                <w:lang w:val="en-US" w:eastAsia="zh-CN"/>
              </w:rPr>
              <w:t>c) Pre-configure multiple SRS, which could include broadcast transmission of configurations with UE-specific determination along with the network of a configuration; (9/13)</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vertAlign w:val="baseline"/>
                <w:lang w:val="en-US" w:eastAsia="zh-CN"/>
              </w:rPr>
            </w:pPr>
            <w:r>
              <w:rPr>
                <w:rFonts w:hint="eastAsia" w:ascii="Times New Roman" w:hAnsi="Times New Roman"/>
                <w:sz w:val="20"/>
                <w:szCs w:val="20"/>
                <w:vertAlign w:val="baseline"/>
                <w:lang w:val="en-US" w:eastAsia="zh-CN"/>
              </w:rPr>
              <w:t>FFS if item c would require network nodes to measure multiple SRS configurations for the same UE simultaneously.</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vertAlign w:val="baseline"/>
                <w:lang w:val="en-US" w:eastAsia="zh-CN"/>
              </w:rPr>
            </w:pPr>
            <w:r>
              <w:rPr>
                <w:rFonts w:hint="eastAsia" w:ascii="Times New Roman" w:hAnsi="Times New Roman"/>
                <w:sz w:val="20"/>
                <w:szCs w:val="20"/>
                <w:vertAlign w:val="baseline"/>
                <w:lang w:val="en-US" w:eastAsia="zh-CN"/>
              </w:rPr>
              <w:t>LS to RAN1 to ask them about interference issues with SRS configurations across multiple cells and about the validity of SRS parameters.</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For (a), similar as SL-PRS configuration with validity area, the SRS configuration is configured with a cell list, i.e., validity area by the last serving gNB that releases the UE into RRC_INACTIVE. UE will utilize the SRS configuration as long as the UE does not move out of the range of the cell list. For (c), the multiple cell</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SRS configuration can be pre-configured by the last serving gNB that releases the UE into RRC_INACTIVE. Each SRS configuration can be associated with the cell ID, when UE re-selects to one cell, the corresponding SRS configuration of the cell should be adopted. From specification perspective, (a) and (c) share the same principle and the same structure of configuration, i.e., one or multiple SRS configurations, in each SRS configuration, one or multiple SRS resource sets/SRS resources can be included. But compared to (c), (a) has only one SRS configuration for a whole validity area, which is quite inflexible. From signaling perspective, we think it is feasible to associate SRS configuration/SRS resource set/SRS resource with different cells, similarly, it is also feasible to associate SRS configuration/SRS resource set/SRS resource with different validity area (which may include multiple cells). RAN1</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consideration on feasibility should also be taken into account.</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For the FFS part, we think gNB implementation can solve this issue without any specification effort. For example, last serving gNB can pre-configure multiple SRS configurations, while each of them contains the SRS resources that almost have the same time/frequency domain resources. The multiple cells/TRPs need to receive/measure the SRS resources for positioning purpose anyway. This can reduce the occasion of multiple cells/TRPs</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monitoring.</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4: gNB implementation can solve the issue that multiple TRPs keep monitoring multiple SRS configurations.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For (b), based on companies contributions, there are two kinds of views:</w:t>
      </w:r>
    </w:p>
    <w:p>
      <w:pPr>
        <w:pageBreakBefore w:val="0"/>
        <w:widowControl/>
        <w:numPr>
          <w:ilvl w:val="0"/>
          <w:numId w:val="11"/>
        </w:numPr>
        <w:kinsoku/>
        <w:wordWrap/>
        <w:topLinePunct w:val="0"/>
        <w:autoSpaceDE w:val="0"/>
        <w:autoSpaceDN w:val="0"/>
        <w:bidi w:val="0"/>
        <w:adjustRightInd w:val="0"/>
        <w:snapToGrid w:val="0"/>
        <w:spacing w:before="157" w:beforeLines="50" w:after="157" w:afterLines="50" w:line="240" w:lineRule="auto"/>
        <w:ind w:left="420" w:leftChars="0" w:hanging="420" w:firstLineChars="0"/>
        <w:rPr>
          <w:rFonts w:hint="default" w:ascii="Times New Roman" w:hAnsi="Times New Roman"/>
          <w:sz w:val="20"/>
          <w:szCs w:val="20"/>
          <w:lang w:val="en-US" w:eastAsia="zh-CN"/>
        </w:rPr>
      </w:pPr>
      <w:r>
        <w:rPr>
          <w:rFonts w:hint="eastAsia" w:ascii="Times New Roman" w:hAnsi="Times New Roman"/>
          <w:sz w:val="20"/>
          <w:szCs w:val="20"/>
          <w:lang w:val="en-US" w:eastAsia="zh-CN"/>
        </w:rPr>
        <w:t>SRS is configured with validity area by the last serving gNB. When the UE moves out of the validity area, UE sends message to NW to request new SRS configuration. Coordination of SRS configuration between new gNB and old gNB may be needed.</w:t>
      </w:r>
    </w:p>
    <w:p>
      <w:pPr>
        <w:pageBreakBefore w:val="0"/>
        <w:widowControl/>
        <w:numPr>
          <w:ilvl w:val="0"/>
          <w:numId w:val="11"/>
        </w:numPr>
        <w:kinsoku/>
        <w:wordWrap/>
        <w:topLinePunct w:val="0"/>
        <w:autoSpaceDE w:val="0"/>
        <w:autoSpaceDN w:val="0"/>
        <w:bidi w:val="0"/>
        <w:adjustRightInd w:val="0"/>
        <w:snapToGrid w:val="0"/>
        <w:spacing w:before="157" w:beforeLines="50" w:after="157" w:afterLines="50" w:line="240" w:lineRule="auto"/>
        <w:ind w:left="420" w:leftChars="0" w:hanging="420" w:firstLineChars="0"/>
        <w:rPr>
          <w:rFonts w:hint="default" w:ascii="Times New Roman" w:hAnsi="Times New Roman"/>
          <w:sz w:val="20"/>
          <w:szCs w:val="20"/>
          <w:lang w:val="en-US" w:eastAsia="zh-CN"/>
        </w:rPr>
      </w:pPr>
      <w:r>
        <w:rPr>
          <w:rFonts w:hint="eastAsia" w:ascii="Times New Roman" w:hAnsi="Times New Roman"/>
          <w:sz w:val="20"/>
          <w:szCs w:val="20"/>
          <w:lang w:val="en-US" w:eastAsia="zh-CN"/>
        </w:rPr>
        <w:t>SRS is configured per cell as legacy approach. When UE moves to a new cell, the new cell and old cell will coordinate SRS configuration via Xn interface. Then new cell can send the new SRS configuration dedicated for this cell to the UE via RRC Release with Suspend Config, without transferring the UE into RRC_CONNECTED.</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The issue is whether the validity area is valid or not. The LS has been sent to RAN1 asking the feasibility of (a) and (c), and we suggest to wait for RAN1</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reply LS before determination. If the feasibility of pre-configuration is ensured by RAN1, we support the pre-configured SRS across multiple cells.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Wait for RAN1</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s reply LS on the feasibility of SRS across multiple cells before determining solutions. If the feasibility of pre-configuration is ensured by RAN1, support the pre-configured SRS across multiple cells to achieve flexibility.</w:t>
      </w:r>
    </w:p>
    <w:p>
      <w:pPr>
        <w:pStyle w:val="3"/>
        <w:pageBreakBefore w:val="0"/>
        <w:numPr>
          <w:ilvl w:val="1"/>
          <w:numId w:val="5"/>
        </w:numPr>
        <w:kinsoku/>
        <w:wordWrap/>
        <w:topLinePunct w:val="0"/>
        <w:bidi w:val="0"/>
        <w:adjustRightInd w:val="0"/>
        <w:snapToGrid w:val="0"/>
        <w:spacing w:before="157" w:beforeLines="50" w:after="157" w:afterLines="50" w:line="240" w:lineRule="auto"/>
        <w:rPr>
          <w:sz w:val="24"/>
          <w:szCs w:val="28"/>
          <w:lang w:val="en-US" w:eastAsia="zh-CN"/>
        </w:rPr>
      </w:pPr>
      <w:r>
        <w:rPr>
          <w:rFonts w:hint="eastAsia" w:eastAsia="宋体"/>
          <w:sz w:val="24"/>
          <w:szCs w:val="28"/>
          <w:lang w:val="en-US" w:eastAsia="zh-CN"/>
        </w:rPr>
        <w:t xml:space="preserve"> A</w:t>
      </w:r>
      <w:r>
        <w:rPr>
          <w:sz w:val="24"/>
          <w:szCs w:val="28"/>
        </w:rPr>
        <w:t>lignment between</w:t>
      </w:r>
      <w:r>
        <w:rPr>
          <w:rFonts w:hint="eastAsia" w:eastAsia="宋体"/>
          <w:sz w:val="24"/>
          <w:szCs w:val="28"/>
          <w:lang w:val="en-US" w:eastAsia="zh-CN"/>
        </w:rPr>
        <w:t xml:space="preserve"> DL-</w:t>
      </w:r>
      <w:r>
        <w:rPr>
          <w:sz w:val="24"/>
          <w:szCs w:val="28"/>
        </w:rPr>
        <w:t>PRS and DRX</w:t>
      </w:r>
      <w:r>
        <w:rPr>
          <w:rFonts w:hint="eastAsia"/>
          <w:sz w:val="22"/>
          <w:szCs w:val="24"/>
          <w:lang w:val="en-US" w:eastAsia="zh-CN"/>
        </w:rPr>
        <w:t xml:space="preserve">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UE can be configured with DRX/eDRX by the network, including the paging cycle value, PF_offset, T, N and Ns. UEs receive the SIB to acquire the common DRX parameters or receive the dedicate DRX parameters from RRC Release message, then different UE will determine different PF and PO time location based on the common DRX parameters (or the dedicate DRX parameters) and its own UE ID according to the formula in 38.304[6]. In RRC_INACTIVE/RRC_IDLE, when UE enters the paging occasion, UE wakes up to receive paging; at other time during the paging cycle, UE keeps sleeping. In the last several meetings, some companies proposed that DL-PRS should be aligned with DRX in order to reduce power when UE is in RRC_INACTIVE/RRC_IDLE. To achieve this, there are some enhancements proposed by companies on the alignment of DL-PRS and DRX:</w:t>
      </w:r>
    </w:p>
    <w:p>
      <w:pPr>
        <w:pageBreakBefore w:val="0"/>
        <w:widowControl/>
        <w:numPr>
          <w:ilvl w:val="0"/>
          <w:numId w:val="12"/>
        </w:numPr>
        <w:kinsoku/>
        <w:wordWrap/>
        <w:topLinePunct w:val="0"/>
        <w:autoSpaceDE w:val="0"/>
        <w:autoSpaceDN w:val="0"/>
        <w:bidi w:val="0"/>
        <w:adjustRightInd w:val="0"/>
        <w:snapToGrid w:val="0"/>
        <w:spacing w:before="157" w:beforeLines="50" w:after="157" w:afterLines="50" w:line="240" w:lineRule="auto"/>
        <w:ind w:left="420" w:leftChars="0" w:hanging="42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Option 1. gNB tells LMF the DRX configuration for LMF to determine the DL-PRS configuration;</w:t>
      </w:r>
    </w:p>
    <w:p>
      <w:pPr>
        <w:pageBreakBefore w:val="0"/>
        <w:widowControl/>
        <w:numPr>
          <w:ilvl w:val="0"/>
          <w:numId w:val="12"/>
        </w:numPr>
        <w:kinsoku/>
        <w:wordWrap/>
        <w:topLinePunct w:val="0"/>
        <w:autoSpaceDE w:val="0"/>
        <w:autoSpaceDN w:val="0"/>
        <w:bidi w:val="0"/>
        <w:adjustRightInd w:val="0"/>
        <w:snapToGrid w:val="0"/>
        <w:spacing w:before="157" w:beforeLines="50" w:after="157" w:afterLines="50" w:line="240" w:lineRule="auto"/>
        <w:ind w:left="420" w:leftChars="0" w:hanging="42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Option 2. LMF tells gNB to configure DL-PRS to close to the paging occasion;</w:t>
      </w:r>
    </w:p>
    <w:p>
      <w:pPr>
        <w:pageBreakBefore w:val="0"/>
        <w:widowControl/>
        <w:numPr>
          <w:ilvl w:val="0"/>
          <w:numId w:val="12"/>
        </w:numPr>
        <w:kinsoku/>
        <w:wordWrap/>
        <w:topLinePunct w:val="0"/>
        <w:autoSpaceDE w:val="0"/>
        <w:autoSpaceDN w:val="0"/>
        <w:bidi w:val="0"/>
        <w:adjustRightInd w:val="0"/>
        <w:snapToGrid w:val="0"/>
        <w:spacing w:before="157" w:beforeLines="50" w:after="157" w:afterLines="50" w:line="240" w:lineRule="auto"/>
        <w:ind w:left="420" w:leftChars="0" w:hanging="42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Option 3. LMF tells gNB to configure DRX to align with DL-PRS;</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default" w:ascii="Times New Roman" w:hAnsi="Times New Roman"/>
          <w:sz w:val="20"/>
          <w:szCs w:val="20"/>
          <w:lang w:val="en-US" w:eastAsia="zh-CN"/>
        </w:rPr>
      </w:pPr>
      <w:r>
        <w:rPr>
          <w:rFonts w:hint="eastAsia" w:ascii="Times New Roman" w:hAnsi="Times New Roman"/>
          <w:sz w:val="20"/>
          <w:szCs w:val="20"/>
          <w:lang w:val="en-US" w:eastAsia="zh-CN"/>
        </w:rPr>
        <w:t>Each gNB have its own DRX configuration. When there is a paging request for a UE in RRC_INACTIVE/RRC_IDLE, all gNBs in this UE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RNA will perform paging according to its cell DRX configuration and the UE ID. However if option 1 is adopted, i.e., all gNBs tell LMF the DRX configuration, LMF should have the capability to calculate PF/PO location based on the formula in 38.304, which is not LMF</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basic function, and the feasibility of enhancing LMF can not be guaranteed. In addition, the RNA area may be large. If all gNBs in a large RNA send DRX configuration to LMF, LMF will have to calculate plenty of PFs/POs, which increases the LMF</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s complexity. Moreover, LMF can not forecast the UE mobility route during RRC_INACTIVE/RRC_IDLE, it is also difficult for LMF to pick up suitable PRS configuration of the positioning session.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5: If all gNBs tell LMF the DRX configuration, LMF should have the capability to calculate PF/PO location based on the formula in 38.304, which is not LMF</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s basic function and increases the LMF</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s complexity.</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DL-PRS configuration is non-UE associated signaling as specified in 38.413. that is to say, when gNB receives the TRP information request message from LMF, gNB does not know the DL-PRS configuration is for which UE. From gNB</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perspective, the configured DL-PRS configuration is common for all UEs. However, UE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DRX configuration is UE-specific since it is calculated based on its own UE ID. If there are multiple UEs in the same cell, and more than one of them perform positioning, gNB can not configure DL-PRS (which is non-UE associated) to close to the paging occasion of one UE (which is UE-specific or UE-associated), i.e., option 2.</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Observation 6: gNB can not configure DL-PRS (which is non-UE associated) to close to the paging occasion of one UE (which is UE-specific or UE-associated).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Since the PRS configuration can not be adjusted by the gNB to suit one specific UE, gNB can configure DRX parameters for one UE (gNB takes LPHAP UE ID into account) to suit the common PRS configuration of this gNB. For example, LMF tells multiple NG-RAN nodes to configure DL-PRS, and LMF should also trigger the request to these NG-RAN nodes that they should also configure the aligned DRX parameters when the UE accesses to the cell. This request can be sent via UE associated message to reduce spec impact. When gNBs receives the new request from LMF, gNBs will configure the suitable DRX parameters and page UE at proper location (for example, close to the DL-PRS) when paging service is needed. This is option 3.</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7: gNB can configure DRX parameters for one UE (gNB takes LPHAP UE ID into account) to suit the PRS configuration of this gNB.</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4: Support gNB to configure DRX parameters for one UE to suit the PRS configuration of this gNB.</w:t>
      </w:r>
    </w:p>
    <w:p>
      <w:pPr>
        <w:pStyle w:val="3"/>
        <w:pageBreakBefore w:val="0"/>
        <w:numPr>
          <w:ilvl w:val="1"/>
          <w:numId w:val="5"/>
        </w:numPr>
        <w:kinsoku/>
        <w:wordWrap/>
        <w:topLinePunct w:val="0"/>
        <w:bidi w:val="0"/>
        <w:adjustRightInd w:val="0"/>
        <w:snapToGrid w:val="0"/>
        <w:spacing w:before="157" w:beforeLines="50" w:after="157" w:afterLines="50" w:line="240" w:lineRule="auto"/>
        <w:rPr>
          <w:sz w:val="24"/>
          <w:szCs w:val="28"/>
          <w:lang w:val="en-US" w:eastAsia="zh-CN"/>
        </w:rPr>
      </w:pPr>
      <w:r>
        <w:rPr>
          <w:rFonts w:hint="eastAsia" w:eastAsia="宋体"/>
          <w:sz w:val="24"/>
          <w:szCs w:val="28"/>
          <w:lang w:val="en-US" w:eastAsia="zh-CN"/>
        </w:rPr>
        <w:t xml:space="preserve"> Draft reply LS to S2-2209591</w:t>
      </w:r>
    </w:p>
    <w:p>
      <w:pPr>
        <w:bidi w:val="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 This section provides draft reply LS content towards S2-2209591.</w:t>
      </w:r>
    </w:p>
    <w:p>
      <w:pPr>
        <w:pBdr>
          <w:bottom w:val="single" w:color="auto" w:sz="4" w:space="1"/>
        </w:pBdr>
        <w:rPr>
          <w:rFonts w:hint="eastAsia" w:ascii="Arial" w:hAnsi="Arial" w:cs="Arial" w:eastAsiaTheme="minorEastAsia"/>
          <w:lang w:val="en-US" w:eastAsia="zh-CN"/>
        </w:rPr>
      </w:pPr>
    </w:p>
    <w:p>
      <w:pPr>
        <w:rPr>
          <w:rFonts w:ascii="Arial" w:hAnsi="Arial" w:cs="Arial"/>
        </w:rPr>
      </w:pPr>
    </w:p>
    <w:p>
      <w:pPr>
        <w:spacing w:after="120"/>
        <w:rPr>
          <w:rFonts w:ascii="Arial" w:hAnsi="Arial" w:cs="Arial"/>
          <w:b/>
        </w:rPr>
      </w:pPr>
      <w:r>
        <w:rPr>
          <w:rFonts w:ascii="Arial" w:hAnsi="Arial" w:cs="Arial"/>
          <w:b/>
        </w:rPr>
        <w:t>1. Overall Description:</w:t>
      </w:r>
    </w:p>
    <w:p>
      <w:pPr>
        <w:rPr>
          <w:rFonts w:ascii="Arial" w:hAnsi="Arial" w:cs="Arial"/>
        </w:rPr>
      </w:pPr>
      <w:bookmarkStart w:id="5" w:name="_Hlk114659813"/>
      <w:r>
        <w:rPr>
          <w:rFonts w:hint="eastAsia" w:cs="Arial"/>
          <w:lang w:val="en-US" w:eastAsia="zh-CN"/>
        </w:rPr>
        <w:t>RAN2 thanks SA2 on the LPHAP indication to RAN</w:t>
      </w:r>
      <w:r>
        <w:rPr>
          <w:rFonts w:ascii="Arial" w:hAnsi="Arial" w:cs="Arial"/>
        </w:rPr>
        <w:t xml:space="preserve">. </w:t>
      </w:r>
    </w:p>
    <w:bookmarkEnd w:id="5"/>
    <w:p>
      <w:pPr>
        <w:rPr>
          <w:rFonts w:hint="default" w:ascii="Arial" w:hAnsi="Arial" w:cs="Arial" w:eastAsiaTheme="minorEastAsia"/>
          <w:i w:val="0"/>
          <w:iCs w:val="0"/>
          <w:lang w:val="en-US" w:eastAsia="zh-CN"/>
        </w:rPr>
      </w:pPr>
      <w:r>
        <w:rPr>
          <w:rFonts w:hint="eastAsia" w:cs="Arial"/>
          <w:i w:val="0"/>
          <w:iCs w:val="0"/>
          <w:lang w:val="en-US" w:eastAsia="zh-CN"/>
        </w:rPr>
        <w:t>With regard to SA2</w:t>
      </w:r>
      <w:r>
        <w:rPr>
          <w:rFonts w:hint="default" w:cs="Arial"/>
          <w:i w:val="0"/>
          <w:iCs w:val="0"/>
          <w:lang w:val="en-US" w:eastAsia="zh-CN"/>
        </w:rPr>
        <w:t>’</w:t>
      </w:r>
      <w:r>
        <w:rPr>
          <w:rFonts w:hint="eastAsia" w:cs="Arial"/>
          <w:i w:val="0"/>
          <w:iCs w:val="0"/>
          <w:lang w:val="en-US" w:eastAsia="zh-CN"/>
        </w:rPr>
        <w:t>s questio</w:t>
      </w:r>
      <w:r>
        <w:rPr>
          <w:rFonts w:hint="eastAsia" w:cs="Arial"/>
          <w:i w:val="0"/>
          <w:iCs w:val="0"/>
          <w:lang w:val="en-US" w:eastAsia="zh-CN"/>
        </w:rPr>
        <w:t>n on the necessity to provide LPHAP indication to RAN at an earlier time before positioning procedure is triggered, RAN2 thinks it is ok for gNB to know the LPHAP indication at earlier time, but it is not necessary/mandatory. gNB knows the LPHAP indication to provide specific power saving related configuration for the LPHAP UE, therefore it is ok to know the LPHAP UE indication just before the gNB configures the power saving related configuration during the positioning procedure.</w:t>
      </w:r>
      <w:r>
        <w:rPr>
          <w:rFonts w:hint="eastAsia" w:cs="Arial"/>
          <w:i w:val="0"/>
          <w:iCs w:val="0"/>
          <w:lang w:val="en-US" w:eastAsia="zh-CN"/>
        </w:rPr>
        <w:t xml:space="preserve"> However, it may not be necessary to use NRPPa message to inform NG-RAN node the LPHAP indication. That</w:t>
      </w:r>
      <w:r>
        <w:rPr>
          <w:rFonts w:hint="default" w:cs="Arial"/>
          <w:i w:val="0"/>
          <w:iCs w:val="0"/>
          <w:lang w:val="en-US" w:eastAsia="zh-CN"/>
        </w:rPr>
        <w:t>’</w:t>
      </w:r>
      <w:r>
        <w:rPr>
          <w:rFonts w:hint="eastAsia" w:cs="Arial"/>
          <w:i w:val="0"/>
          <w:iCs w:val="0"/>
          <w:lang w:val="en-US" w:eastAsia="zh-CN"/>
        </w:rPr>
        <w:t xml:space="preserve">s because UE will report its LPHAP related capability signaling to serving NG-RAN node, furthermore, the LPHAP related NRPPa signaling can be designed as UE associated signaling specified in NGAP message. Besides, LPHAP indication in NRPPa message is not a normal design. </w:t>
      </w:r>
      <w:bookmarkStart w:id="9" w:name="_GoBack"/>
      <w:bookmarkEnd w:id="9"/>
    </w:p>
    <w:p>
      <w:pPr>
        <w:rPr>
          <w:rFonts w:ascii="Arial" w:hAnsi="Arial" w:eastAsia="DengXian" w:cs="Arial"/>
          <w:lang w:eastAsia="zh-CN"/>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hint="eastAsia" w:cs="Arial"/>
          <w:b/>
          <w:color w:val="000000"/>
          <w:lang w:val="en-US" w:eastAsia="zh-CN"/>
        </w:rPr>
        <w:t>SA2</w:t>
      </w:r>
      <w:r>
        <w:rPr>
          <w:rFonts w:ascii="Arial" w:hAnsi="Arial" w:cs="Arial"/>
          <w:b/>
        </w:rPr>
        <w:t xml:space="preserve"> group.</w:t>
      </w:r>
    </w:p>
    <w:p>
      <w:pPr>
        <w:spacing w:after="120"/>
        <w:ind w:left="993" w:hanging="993"/>
        <w:rPr>
          <w:rFonts w:ascii="Arial" w:hAnsi="Arial" w:cs="Arial"/>
        </w:rPr>
      </w:pPr>
      <w:r>
        <w:rPr>
          <w:rFonts w:ascii="Arial" w:hAnsi="Arial" w:cs="Arial"/>
          <w:b/>
        </w:rPr>
        <w:t xml:space="preserve">ACTION: </w:t>
      </w:r>
      <w:r>
        <w:rPr>
          <w:rFonts w:ascii="Arial" w:hAnsi="Arial" w:cs="Arial"/>
          <w:b/>
        </w:rPr>
        <w:tab/>
      </w:r>
      <w:r>
        <w:rPr>
          <w:rFonts w:hint="eastAsia" w:cs="Arial"/>
          <w:color w:val="000000"/>
          <w:lang w:val="en-US" w:eastAsia="zh-CN"/>
        </w:rPr>
        <w:t>RAN2 kindly asks SA2 to take above into consideration</w:t>
      </w:r>
      <w:r>
        <w:rPr>
          <w:rFonts w:ascii="Arial" w:hAnsi="Arial" w:cs="Arial"/>
          <w:color w:val="000000"/>
        </w:rPr>
        <w:t>.</w:t>
      </w:r>
    </w:p>
    <w:p>
      <w:pPr>
        <w:spacing w:after="120"/>
        <w:ind w:left="993" w:hanging="993"/>
        <w:rPr>
          <w:rFonts w:ascii="Arial" w:hAnsi="Arial" w:cs="Arial"/>
        </w:rPr>
      </w:pPr>
    </w:p>
    <w:p>
      <w:pPr>
        <w:spacing w:after="120"/>
        <w:rPr>
          <w:rFonts w:ascii="Arial" w:hAnsi="Arial" w:cs="Arial"/>
          <w:b/>
        </w:rPr>
      </w:pPr>
      <w:r>
        <w:rPr>
          <w:rFonts w:ascii="Arial" w:hAnsi="Arial" w:cs="Arial"/>
          <w:b/>
        </w:rPr>
        <w:t xml:space="preserve">3. Date of Next TSG </w:t>
      </w:r>
      <w:r>
        <w:rPr>
          <w:rFonts w:hint="eastAsia" w:cs="Arial"/>
          <w:b/>
          <w:lang w:val="en-US" w:eastAsia="zh-CN"/>
        </w:rPr>
        <w:t>RAN</w:t>
      </w:r>
      <w:r>
        <w:rPr>
          <w:rFonts w:ascii="Arial" w:hAnsi="Arial" w:cs="Arial"/>
          <w:b/>
        </w:rPr>
        <w:t xml:space="preserve"> WG2 Meetings:</w:t>
      </w:r>
    </w:p>
    <w:p>
      <w:pPr>
        <w:tabs>
          <w:tab w:val="left" w:pos="5103"/>
        </w:tabs>
        <w:spacing w:after="120"/>
        <w:ind w:left="2268" w:hanging="2268"/>
        <w:rPr>
          <w:rFonts w:hint="default" w:ascii="Arial" w:hAnsi="Arial" w:cs="Arial" w:eastAsiaTheme="minorEastAsia"/>
          <w:bCs/>
          <w:lang w:val="en-US" w:eastAsia="zh-CN"/>
        </w:rPr>
      </w:pPr>
      <w:r>
        <w:rPr>
          <w:rFonts w:hint="eastAsia" w:cs="Arial"/>
          <w:bCs/>
          <w:lang w:val="en-US" w:eastAsia="zh-CN"/>
        </w:rPr>
        <w:t>RAN2#121</w:t>
      </w:r>
      <w:r>
        <w:rPr>
          <w:rFonts w:ascii="Arial" w:hAnsi="Arial" w:cs="Arial"/>
          <w:bCs/>
          <w:lang w:val="sv-SE"/>
        </w:rPr>
        <w:tab/>
      </w:r>
      <w:r>
        <w:rPr>
          <w:rFonts w:hint="eastAsia" w:cs="Arial"/>
          <w:bCs/>
          <w:lang w:val="en-US" w:eastAsia="zh-CN"/>
        </w:rPr>
        <w:t>27th Feb</w:t>
      </w:r>
      <w:r>
        <w:rPr>
          <w:rFonts w:ascii="Arial" w:hAnsi="Arial" w:cs="Arial"/>
          <w:bCs/>
          <w:lang w:val="sv-SE"/>
        </w:rPr>
        <w:t xml:space="preserve">- </w:t>
      </w:r>
      <w:r>
        <w:rPr>
          <w:rFonts w:hint="eastAsia" w:cs="Arial"/>
          <w:bCs/>
          <w:lang w:val="en-US" w:eastAsia="zh-CN"/>
        </w:rPr>
        <w:t>3</w:t>
      </w:r>
      <w:r>
        <w:rPr>
          <w:rFonts w:ascii="Arial" w:hAnsi="Arial" w:cs="Arial"/>
          <w:bCs/>
          <w:lang w:val="sv-SE"/>
        </w:rPr>
        <w:t xml:space="preserve">th </w:t>
      </w:r>
      <w:r>
        <w:rPr>
          <w:rFonts w:hint="eastAsia" w:cs="Arial"/>
          <w:bCs/>
          <w:lang w:val="en-US" w:eastAsia="zh-CN"/>
        </w:rPr>
        <w:t>Mar</w:t>
      </w:r>
      <w:r>
        <w:rPr>
          <w:rFonts w:ascii="Arial" w:hAnsi="Arial" w:cs="Arial"/>
          <w:bCs/>
          <w:lang w:val="sv-SE"/>
        </w:rPr>
        <w:t xml:space="preserve"> 202</w:t>
      </w:r>
      <w:r>
        <w:rPr>
          <w:rFonts w:hint="eastAsia" w:cs="Arial"/>
          <w:bCs/>
          <w:lang w:val="en-US" w:eastAsia="zh-CN"/>
        </w:rPr>
        <w:t>3</w:t>
      </w:r>
      <w:r>
        <w:rPr>
          <w:rFonts w:ascii="Arial" w:hAnsi="Arial" w:cs="Arial"/>
          <w:bCs/>
          <w:lang w:val="sv-SE"/>
        </w:rPr>
        <w:tab/>
      </w:r>
      <w:r>
        <w:rPr>
          <w:rFonts w:hint="eastAsia" w:cs="Arial"/>
          <w:bCs/>
          <w:lang w:val="en-US" w:eastAsia="zh-CN"/>
        </w:rPr>
        <w:t>Athens, GR</w:t>
      </w:r>
    </w:p>
    <w:p>
      <w:pPr>
        <w:tabs>
          <w:tab w:val="left" w:pos="5103"/>
        </w:tabs>
        <w:spacing w:after="120"/>
        <w:ind w:left="2268" w:hanging="2268"/>
        <w:rPr>
          <w:rFonts w:ascii="Arial" w:hAnsi="Arial" w:cs="Arial"/>
          <w:bCs/>
          <w:lang w:val="sv-SE"/>
        </w:rPr>
      </w:pPr>
      <w:r>
        <w:rPr>
          <w:rFonts w:hint="eastAsia" w:cs="Arial"/>
          <w:bCs/>
          <w:lang w:val="en-US" w:eastAsia="zh-CN"/>
        </w:rPr>
        <w:t>RAN2#121-bis-e</w:t>
      </w:r>
      <w:r>
        <w:rPr>
          <w:rFonts w:ascii="Arial" w:hAnsi="Arial" w:cs="Arial"/>
          <w:bCs/>
          <w:lang w:val="sv-SE"/>
        </w:rPr>
        <w:tab/>
      </w:r>
      <w:r>
        <w:rPr>
          <w:rFonts w:ascii="Arial" w:hAnsi="Arial" w:cs="Arial"/>
          <w:bCs/>
          <w:lang w:val="sv-SE"/>
        </w:rPr>
        <w:t>1</w:t>
      </w:r>
      <w:r>
        <w:rPr>
          <w:rFonts w:hint="eastAsia" w:cs="Arial"/>
          <w:bCs/>
          <w:lang w:val="en-US" w:eastAsia="zh-CN"/>
        </w:rPr>
        <w:t>7</w:t>
      </w:r>
      <w:r>
        <w:rPr>
          <w:rFonts w:ascii="Arial" w:hAnsi="Arial" w:cs="Arial"/>
          <w:bCs/>
          <w:lang w:val="sv-SE"/>
        </w:rPr>
        <w:t>th - 2</w:t>
      </w:r>
      <w:r>
        <w:rPr>
          <w:rFonts w:hint="eastAsia" w:cs="Arial"/>
          <w:bCs/>
          <w:lang w:val="en-US" w:eastAsia="zh-CN"/>
        </w:rPr>
        <w:t>6</w:t>
      </w:r>
      <w:r>
        <w:rPr>
          <w:rFonts w:ascii="Arial" w:hAnsi="Arial" w:cs="Arial"/>
          <w:bCs/>
          <w:lang w:val="sv-SE"/>
        </w:rPr>
        <w:t xml:space="preserve">th </w:t>
      </w:r>
      <w:r>
        <w:rPr>
          <w:rFonts w:hint="eastAsia" w:cs="Arial"/>
          <w:bCs/>
          <w:lang w:val="en-US" w:eastAsia="zh-CN"/>
        </w:rPr>
        <w:t>Apr</w:t>
      </w:r>
      <w:r>
        <w:rPr>
          <w:rFonts w:ascii="Arial" w:hAnsi="Arial" w:cs="Arial"/>
          <w:bCs/>
          <w:lang w:val="sv-SE"/>
        </w:rPr>
        <w:t xml:space="preserve"> 2023</w:t>
      </w:r>
      <w:r>
        <w:rPr>
          <w:rFonts w:ascii="Arial" w:hAnsi="Arial" w:cs="Arial"/>
          <w:bCs/>
          <w:lang w:val="sv-SE"/>
        </w:rPr>
        <w:tab/>
      </w:r>
      <w:r>
        <w:rPr>
          <w:rFonts w:ascii="Arial" w:hAnsi="Arial" w:cs="Arial"/>
          <w:bCs/>
          <w:lang w:val="sv-SE"/>
        </w:rPr>
        <w:t>Electronic meeting</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cs="Arial"/>
          <w:kern w:val="0"/>
          <w:sz w:val="28"/>
          <w:szCs w:val="32"/>
        </w:rPr>
        <w:t>Conclusion</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eastAsia="宋体"/>
          <w:b/>
          <w:bCs/>
          <w:i/>
          <w:iCs/>
          <w:sz w:val="20"/>
          <w:szCs w:val="20"/>
          <w:lang w:val="en-US" w:eastAsia="zh-CN"/>
        </w:rPr>
      </w:pPr>
      <w:r>
        <w:rPr>
          <w:rFonts w:hint="eastAsia" w:ascii="Times New Roman" w:hAnsi="Times New Roman" w:eastAsia="宋体"/>
          <w:b/>
          <w:bCs/>
          <w:i/>
          <w:iCs/>
          <w:sz w:val="20"/>
          <w:szCs w:val="20"/>
          <w:lang w:val="en-US" w:eastAsia="zh-CN"/>
        </w:rPr>
        <w:t>Observation 1: It is necessary for NG-RAN node and/or LMF to know the UE is a LPHAP UE in order to configure special configurations with power saving feature.</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eastAsia="宋体"/>
          <w:sz w:val="20"/>
          <w:szCs w:val="20"/>
          <w:lang w:val="en-US" w:eastAsia="zh-CN"/>
        </w:rPr>
      </w:pPr>
      <w:r>
        <w:rPr>
          <w:rFonts w:hint="eastAsia" w:ascii="Times New Roman" w:hAnsi="Times New Roman" w:eastAsia="宋体"/>
          <w:b/>
          <w:bCs/>
          <w:i/>
          <w:iCs/>
          <w:sz w:val="20"/>
          <w:szCs w:val="20"/>
          <w:lang w:val="en-US" w:eastAsia="zh-CN"/>
        </w:rPr>
        <w:t xml:space="preserve">Observation 2: If NG-RAN node requires the LPHAP indication at earlier stage, there is no NRPPa message, not to say using NRPPa to convey LPHAP indication. </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eastAsia="宋体"/>
          <w:b/>
          <w:bCs/>
          <w:i/>
          <w:iCs/>
          <w:sz w:val="20"/>
          <w:szCs w:val="20"/>
          <w:lang w:val="en-US" w:eastAsia="zh-CN"/>
        </w:rPr>
      </w:pPr>
      <w:r>
        <w:rPr>
          <w:rFonts w:hint="eastAsia" w:ascii="Times New Roman" w:hAnsi="Times New Roman" w:eastAsia="宋体"/>
          <w:b/>
          <w:bCs/>
          <w:i/>
          <w:iCs/>
          <w:sz w:val="20"/>
          <w:szCs w:val="20"/>
          <w:lang w:val="en-US" w:eastAsia="zh-CN"/>
        </w:rPr>
        <w:t>Observation 3: If NG-RAN node requires the LPHAP indication during the positioning procedure, LPHAP indication in NRPPa message is not a normal design. Furthermore, NG-RAN node can also know the LPHAP indication via the UE associated signaling.</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eastAsia="宋体"/>
          <w:b/>
          <w:bCs/>
          <w:i/>
          <w:iCs/>
          <w:sz w:val="20"/>
          <w:szCs w:val="20"/>
          <w:lang w:val="en-US" w:eastAsia="zh-CN"/>
        </w:rPr>
      </w:pPr>
      <w:r>
        <w:rPr>
          <w:rFonts w:hint="eastAsia" w:ascii="Times New Roman" w:hAnsi="Times New Roman"/>
          <w:b/>
          <w:bCs/>
          <w:i/>
          <w:iCs/>
          <w:sz w:val="20"/>
          <w:szCs w:val="20"/>
          <w:lang w:val="en-US" w:eastAsia="zh-CN"/>
        </w:rPr>
        <w:t>Observation 4: gNB implementation can solve the issue that multiple TRPs keep monitoring multiple SRS configurations.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5: If all gNBs tell LMF the DRX configuration, LMF should have the capability to calculate PF/PO location based on the formula in 38.304, which is not LMF</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s basic function and increases the LMF</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s complexity.</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Observation 6: gNB can not configure DL-PRS (which is non-UE associated) to close to the paging occasion of one UE (which is UE-specific or UE-associated).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7: gNB can configure DRX parameters for one UE (gNB takes LPHAP UE ID into account) to suit the PRS configuration of this gNB.</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eastAsia="宋体"/>
          <w:b/>
          <w:bCs/>
          <w:i/>
          <w:iCs/>
          <w:sz w:val="20"/>
          <w:szCs w:val="20"/>
          <w:lang w:val="en-US" w:eastAsia="zh-CN"/>
        </w:rPr>
      </w:pP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eastAsia="宋体"/>
          <w:b/>
          <w:bCs/>
          <w:i/>
          <w:iCs/>
          <w:sz w:val="20"/>
          <w:szCs w:val="20"/>
          <w:lang w:val="en-US" w:eastAsia="zh-CN"/>
        </w:rPr>
      </w:pPr>
      <w:r>
        <w:rPr>
          <w:rFonts w:hint="eastAsia" w:ascii="Times New Roman" w:hAnsi="Times New Roman" w:eastAsia="宋体"/>
          <w:b/>
          <w:bCs/>
          <w:i/>
          <w:iCs/>
          <w:sz w:val="20"/>
          <w:szCs w:val="20"/>
          <w:lang w:val="en-US" w:eastAsia="zh-CN"/>
        </w:rPr>
        <w:t xml:space="preserve">Proposal 1: Support LPHAP UE to send its capability directly to LMF </w:t>
      </w:r>
      <w:r>
        <w:rPr>
          <w:rFonts w:ascii="Times New Roman" w:hAnsi="Times New Roman" w:eastAsia="宋体"/>
          <w:b/>
          <w:bCs/>
          <w:i/>
          <w:iCs/>
          <w:sz w:val="20"/>
          <w:szCs w:val="20"/>
          <w:lang w:val="en-US" w:eastAsia="zh-CN"/>
        </w:rPr>
        <w:t>and</w:t>
      </w:r>
      <w:r>
        <w:rPr>
          <w:rFonts w:hint="eastAsia" w:ascii="Times New Roman" w:hAnsi="Times New Roman" w:eastAsia="宋体"/>
          <w:b/>
          <w:bCs/>
          <w:i/>
          <w:iCs/>
          <w:sz w:val="20"/>
          <w:szCs w:val="20"/>
          <w:lang w:val="en-US" w:eastAsia="zh-CN"/>
        </w:rPr>
        <w:t xml:space="preserve">/or gNB for identification, based on the specific enhancements. </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eastAsia="宋体"/>
          <w:b/>
          <w:bCs/>
          <w:i/>
          <w:iCs/>
          <w:sz w:val="20"/>
          <w:szCs w:val="20"/>
          <w:lang w:val="en-US" w:eastAsia="zh-CN"/>
        </w:rPr>
      </w:pPr>
      <w:r>
        <w:rPr>
          <w:rFonts w:hint="eastAsia" w:ascii="Times New Roman" w:hAnsi="Times New Roman" w:eastAsia="宋体"/>
          <w:b/>
          <w:bCs/>
          <w:i/>
          <w:iCs/>
          <w:sz w:val="20"/>
          <w:szCs w:val="20"/>
          <w:lang w:val="en-US" w:eastAsia="zh-CN"/>
        </w:rPr>
        <w:t>Proposal 2: Do not support LPHAP indication embedded in NRPPa message, no matter NG-RAN node requires the LPHAP indication at earlier time or during the positioning procedure.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Wait for RAN1</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s reply LS on the feasibility of SRS across multiple cells before determining solutions. If the feasibility of pre-configuration is ensured by RAN1, support the pre-configured SRS across multiple cells to achieve flexibility.</w:t>
      </w:r>
    </w:p>
    <w:p>
      <w:pPr>
        <w:pageBreakBefore w:val="0"/>
        <w:widowControl/>
        <w:kinsoku/>
        <w:wordWrap/>
        <w:topLinePunct w:val="0"/>
        <w:autoSpaceDE w:val="0"/>
        <w:autoSpaceDN w:val="0"/>
        <w:bidi w:val="0"/>
        <w:adjustRightInd w:val="0"/>
        <w:snapToGrid w:val="0"/>
        <w:spacing w:before="157" w:beforeLines="50" w:after="157" w:afterLines="50" w:line="240" w:lineRule="auto"/>
      </w:pPr>
      <w:r>
        <w:rPr>
          <w:rFonts w:hint="eastAsia" w:ascii="Times New Roman" w:hAnsi="Times New Roman"/>
          <w:b/>
          <w:bCs/>
          <w:i/>
          <w:iCs/>
          <w:sz w:val="20"/>
          <w:szCs w:val="20"/>
          <w:lang w:val="en-US" w:eastAsia="zh-CN"/>
        </w:rPr>
        <w:t>Proposal 4: Support gNB to configure DRX parameters for one UE to suit the PRS configuration of this gNB.</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pP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bookmarkStart w:id="6" w:name="_Toc18403976"/>
      <w:bookmarkStart w:id="7" w:name="_Toc18413612"/>
      <w:bookmarkStart w:id="8" w:name="_Toc18404543"/>
      <w:r>
        <w:rPr>
          <w:rFonts w:cs="Arial"/>
          <w:kern w:val="0"/>
          <w:sz w:val="28"/>
          <w:szCs w:val="32"/>
        </w:rPr>
        <w:t>References</w:t>
      </w:r>
      <w:bookmarkEnd w:id="6"/>
      <w:bookmarkEnd w:id="7"/>
      <w:bookmarkEnd w:id="8"/>
    </w:p>
    <w:p>
      <w:pPr>
        <w:pageBreakBefore w:val="0"/>
        <w:numPr>
          <w:ilvl w:val="0"/>
          <w:numId w:val="13"/>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ascii="Times New Roman" w:hAnsi="Times New Roman" w:eastAsia="宋体"/>
          <w:sz w:val="20"/>
          <w:szCs w:val="20"/>
        </w:rPr>
        <w:t>RP-213</w:t>
      </w:r>
      <w:r>
        <w:rPr>
          <w:rFonts w:hint="eastAsia" w:ascii="Times New Roman" w:hAnsi="Times New Roman" w:eastAsia="宋体"/>
          <w:sz w:val="20"/>
          <w:szCs w:val="20"/>
          <w:lang w:val="en-US" w:eastAsia="zh-CN"/>
        </w:rPr>
        <w:t>588,</w:t>
      </w:r>
      <w:r>
        <w:rPr>
          <w:rFonts w:ascii="Times New Roman" w:hAnsi="Times New Roman" w:eastAsia="宋体"/>
          <w:sz w:val="20"/>
          <w:szCs w:val="20"/>
        </w:rPr>
        <w:t xml:space="preserve"> Revised SID on Study on expanded and improved NR positioning</w:t>
      </w:r>
      <w:r>
        <w:rPr>
          <w:rFonts w:hint="eastAsia" w:ascii="Times New Roman" w:hAnsi="Times New Roman" w:eastAsia="宋体"/>
          <w:sz w:val="20"/>
          <w:szCs w:val="20"/>
          <w:lang w:val="en-US" w:eastAsia="zh-CN"/>
        </w:rPr>
        <w:t>.</w:t>
      </w:r>
      <w:r>
        <w:rPr>
          <w:rFonts w:ascii="Times New Roman" w:hAnsi="Times New Roman" w:eastAsia="宋体"/>
          <w:sz w:val="20"/>
          <w:szCs w:val="20"/>
        </w:rPr>
        <w:t xml:space="preserve"> </w:t>
      </w:r>
    </w:p>
    <w:p>
      <w:pPr>
        <w:pageBreakBefore w:val="0"/>
        <w:numPr>
          <w:ilvl w:val="0"/>
          <w:numId w:val="13"/>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ascii="Times New Roman" w:hAnsi="Times New Roman"/>
          <w:sz w:val="20"/>
          <w:szCs w:val="20"/>
          <w:lang w:eastAsia="zh-CN"/>
        </w:rPr>
        <w:t xml:space="preserve">TS 22.104, </w:t>
      </w:r>
      <w:r>
        <w:rPr>
          <w:rFonts w:ascii="Times New Roman" w:hAnsi="Times New Roman"/>
          <w:sz w:val="20"/>
          <w:szCs w:val="20"/>
        </w:rPr>
        <w:t>Service requirements for cyber-physical control applications in vertical domains, 2021-03.</w:t>
      </w:r>
    </w:p>
    <w:p>
      <w:pPr>
        <w:pageBreakBefore w:val="0"/>
        <w:numPr>
          <w:ilvl w:val="0"/>
          <w:numId w:val="13"/>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hint="eastAsia" w:ascii="Times New Roman" w:hAnsi="Times New Roman"/>
          <w:sz w:val="20"/>
          <w:szCs w:val="20"/>
          <w:lang w:val="en-US" w:eastAsia="zh-CN"/>
        </w:rPr>
        <w:t>S2-2209591, LS on LPHAP information delivery to RAN, 2022-10.</w:t>
      </w:r>
    </w:p>
    <w:p>
      <w:pPr>
        <w:pageBreakBefore w:val="0"/>
        <w:numPr>
          <w:ilvl w:val="0"/>
          <w:numId w:val="13"/>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hint="eastAsia" w:ascii="Times New Roman" w:hAnsi="Times New Roman"/>
          <w:sz w:val="20"/>
          <w:szCs w:val="20"/>
          <w:lang w:val="en-US" w:eastAsia="zh-CN"/>
        </w:rPr>
        <w:t>TS 38.413, NG Application Protocol (NGAP), 2022-06.</w:t>
      </w:r>
    </w:p>
    <w:p>
      <w:pPr>
        <w:pageBreakBefore w:val="0"/>
        <w:numPr>
          <w:ilvl w:val="0"/>
          <w:numId w:val="13"/>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hint="eastAsia" w:ascii="Times New Roman" w:hAnsi="Times New Roman" w:eastAsia="宋体"/>
          <w:color w:val="000000"/>
          <w:sz w:val="20"/>
          <w:szCs w:val="20"/>
          <w:lang w:val="en-US" w:eastAsia="zh-CN"/>
        </w:rPr>
        <w:t>Report of 3GPP TSG RAN WG2 meeting #119-bis-e, 2022-10</w:t>
      </w:r>
      <w:r>
        <w:rPr>
          <w:rFonts w:ascii="Times New Roman" w:hAnsi="Times New Roman" w:eastAsia="宋体"/>
          <w:sz w:val="20"/>
          <w:szCs w:val="20"/>
          <w:lang w:val="en-US" w:eastAsia="zh-CN"/>
        </w:rPr>
        <w:t>.</w:t>
      </w:r>
    </w:p>
    <w:p>
      <w:pPr>
        <w:pageBreakBefore w:val="0"/>
        <w:numPr>
          <w:ilvl w:val="0"/>
          <w:numId w:val="13"/>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hint="eastAsia" w:ascii="Times New Roman" w:hAnsi="Times New Roman"/>
          <w:sz w:val="20"/>
          <w:szCs w:val="20"/>
          <w:lang w:val="en-US" w:eastAsia="zh-CN"/>
        </w:rPr>
        <w:t>TS 38.304, User Equipment (UE) procedures in Idle mode and RRC Inactive state, 2022-03.</w:t>
      </w:r>
    </w:p>
    <w:p>
      <w:pPr>
        <w:autoSpaceDE w:val="0"/>
        <w:autoSpaceDN w:val="0"/>
        <w:adjustRightInd w:val="0"/>
        <w:snapToGrid w:val="0"/>
        <w:spacing w:before="156" w:beforeLines="50" w:after="156" w:afterLines="50" w:line="240" w:lineRule="auto"/>
        <w:rPr>
          <w:rFonts w:ascii="Times New Roman" w:hAnsi="Times New Roman"/>
          <w:color w:val="000000"/>
          <w:sz w:val="20"/>
          <w:szCs w:val="20"/>
        </w:rPr>
      </w:pP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3E7083"/>
    <w:multiLevelType w:val="singleLevel"/>
    <w:tmpl w:val="833E7083"/>
    <w:lvl w:ilvl="0" w:tentative="0">
      <w:start w:val="1"/>
      <w:numFmt w:val="bullet"/>
      <w:lvlText w:val=""/>
      <w:lvlJc w:val="left"/>
      <w:pPr>
        <w:ind w:left="420" w:hanging="420"/>
      </w:pPr>
      <w:rPr>
        <w:rFonts w:hint="default" w:ascii="Wingdings" w:hAnsi="Wingdings"/>
      </w:rPr>
    </w:lvl>
  </w:abstractNum>
  <w:abstractNum w:abstractNumId="1">
    <w:nsid w:val="98C0DCEB"/>
    <w:multiLevelType w:val="singleLevel"/>
    <w:tmpl w:val="98C0DCEB"/>
    <w:lvl w:ilvl="0" w:tentative="0">
      <w:start w:val="1"/>
      <w:numFmt w:val="decimal"/>
      <w:suff w:val="space"/>
      <w:lvlText w:val="[%1]"/>
      <w:lvlJc w:val="left"/>
    </w:lvl>
  </w:abstractNum>
  <w:abstractNum w:abstractNumId="2">
    <w:nsid w:val="9B33583B"/>
    <w:multiLevelType w:val="multilevel"/>
    <w:tmpl w:val="9B33583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4">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0DE83EA3"/>
    <w:multiLevelType w:val="multilevel"/>
    <w:tmpl w:val="0DE83E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A6CCA72"/>
    <w:multiLevelType w:val="multilevel"/>
    <w:tmpl w:val="2A6CCA7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3E33F799"/>
    <w:multiLevelType w:val="singleLevel"/>
    <w:tmpl w:val="3E33F799"/>
    <w:lvl w:ilvl="0" w:tentative="0">
      <w:start w:val="1"/>
      <w:numFmt w:val="bullet"/>
      <w:lvlText w:val=""/>
      <w:lvlJc w:val="left"/>
      <w:pPr>
        <w:ind w:left="420" w:hanging="420"/>
      </w:pPr>
      <w:rPr>
        <w:rFonts w:hint="default" w:ascii="Wingdings" w:hAnsi="Wingdings"/>
      </w:rPr>
    </w:lvl>
  </w:abstractNum>
  <w:abstractNum w:abstractNumId="10">
    <w:nsid w:val="4869A139"/>
    <w:multiLevelType w:val="singleLevel"/>
    <w:tmpl w:val="4869A139"/>
    <w:lvl w:ilvl="0" w:tentative="0">
      <w:start w:val="1"/>
      <w:numFmt w:val="decimal"/>
      <w:suff w:val="space"/>
      <w:lvlText w:val="%1."/>
      <w:lvlJc w:val="left"/>
    </w:lvl>
  </w:abstractNum>
  <w:abstractNum w:abstractNumId="11">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5BA38E88"/>
    <w:multiLevelType w:val="multilevel"/>
    <w:tmpl w:val="5BA38E8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3"/>
  </w:num>
  <w:num w:numId="2">
    <w:abstractNumId w:val="11"/>
  </w:num>
  <w:num w:numId="3">
    <w:abstractNumId w:val="7"/>
  </w:num>
  <w:num w:numId="4">
    <w:abstractNumId w:val="8"/>
  </w:num>
  <w:num w:numId="5">
    <w:abstractNumId w:val="4"/>
  </w:num>
  <w:num w:numId="6">
    <w:abstractNumId w:val="5"/>
  </w:num>
  <w:num w:numId="7">
    <w:abstractNumId w:val="6"/>
  </w:num>
  <w:num w:numId="8">
    <w:abstractNumId w:val="2"/>
  </w:num>
  <w:num w:numId="9">
    <w:abstractNumId w:val="12"/>
  </w:num>
  <w:num w:numId="10">
    <w:abstractNumId w:val="10"/>
  </w:num>
  <w:num w:numId="11">
    <w:abstractNumId w:val="9"/>
  </w:num>
  <w:num w:numId="12">
    <w:abstractNumId w:val="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1"/>
  <w:bordersDoNotSurroundFooter w:val="1"/>
  <w:documentProtection w:enforcement="0"/>
  <w:defaultTabStop w:val="420"/>
  <w:hyphenationZone w:val="425"/>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6A6A"/>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6521B"/>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727"/>
    <w:rsid w:val="0013288E"/>
    <w:rsid w:val="00134275"/>
    <w:rsid w:val="00134595"/>
    <w:rsid w:val="0013534D"/>
    <w:rsid w:val="00137B0E"/>
    <w:rsid w:val="00137D4E"/>
    <w:rsid w:val="00140571"/>
    <w:rsid w:val="001413B6"/>
    <w:rsid w:val="00141835"/>
    <w:rsid w:val="00143D02"/>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3C2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3E7"/>
    <w:rsid w:val="00262518"/>
    <w:rsid w:val="00263A3D"/>
    <w:rsid w:val="00264137"/>
    <w:rsid w:val="00264908"/>
    <w:rsid w:val="00270A1C"/>
    <w:rsid w:val="00271ED8"/>
    <w:rsid w:val="002730ED"/>
    <w:rsid w:val="00281718"/>
    <w:rsid w:val="002855D0"/>
    <w:rsid w:val="002901F1"/>
    <w:rsid w:val="00290E18"/>
    <w:rsid w:val="002910B9"/>
    <w:rsid w:val="00291D54"/>
    <w:rsid w:val="002929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3EC"/>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2AC"/>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51F"/>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0EF5"/>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47094"/>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0C44"/>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1E9"/>
    <w:rsid w:val="005514AA"/>
    <w:rsid w:val="00553234"/>
    <w:rsid w:val="00553A61"/>
    <w:rsid w:val="0055402E"/>
    <w:rsid w:val="0055689F"/>
    <w:rsid w:val="005604D2"/>
    <w:rsid w:val="00560AD9"/>
    <w:rsid w:val="00561349"/>
    <w:rsid w:val="00561E2F"/>
    <w:rsid w:val="00563B02"/>
    <w:rsid w:val="005657FC"/>
    <w:rsid w:val="00565A48"/>
    <w:rsid w:val="00566894"/>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1B73"/>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310F"/>
    <w:rsid w:val="00745C1D"/>
    <w:rsid w:val="00746271"/>
    <w:rsid w:val="00746B0B"/>
    <w:rsid w:val="007517C3"/>
    <w:rsid w:val="00751B08"/>
    <w:rsid w:val="00751F23"/>
    <w:rsid w:val="0075278C"/>
    <w:rsid w:val="00752A59"/>
    <w:rsid w:val="00753832"/>
    <w:rsid w:val="00756779"/>
    <w:rsid w:val="007573D2"/>
    <w:rsid w:val="007577AC"/>
    <w:rsid w:val="00760C49"/>
    <w:rsid w:val="00761BE2"/>
    <w:rsid w:val="007626A2"/>
    <w:rsid w:val="00762C3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4EAF"/>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3351"/>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24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EA8"/>
    <w:rsid w:val="00871FA9"/>
    <w:rsid w:val="00872250"/>
    <w:rsid w:val="008731B8"/>
    <w:rsid w:val="00873D16"/>
    <w:rsid w:val="008757FA"/>
    <w:rsid w:val="008768D2"/>
    <w:rsid w:val="00876B45"/>
    <w:rsid w:val="00880F6C"/>
    <w:rsid w:val="0088223F"/>
    <w:rsid w:val="008825D8"/>
    <w:rsid w:val="00882DAB"/>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4566"/>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64D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E3A"/>
    <w:rsid w:val="009B4FF0"/>
    <w:rsid w:val="009C2086"/>
    <w:rsid w:val="009C3006"/>
    <w:rsid w:val="009C5F45"/>
    <w:rsid w:val="009D159F"/>
    <w:rsid w:val="009D2A16"/>
    <w:rsid w:val="009D6952"/>
    <w:rsid w:val="009D7F9A"/>
    <w:rsid w:val="009E068F"/>
    <w:rsid w:val="009E1B89"/>
    <w:rsid w:val="009E47DB"/>
    <w:rsid w:val="009E6103"/>
    <w:rsid w:val="009E619C"/>
    <w:rsid w:val="009E67E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1B16"/>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05AE"/>
    <w:rsid w:val="00B0132A"/>
    <w:rsid w:val="00B029C1"/>
    <w:rsid w:val="00B07903"/>
    <w:rsid w:val="00B07968"/>
    <w:rsid w:val="00B07B19"/>
    <w:rsid w:val="00B10FBA"/>
    <w:rsid w:val="00B1189C"/>
    <w:rsid w:val="00B12666"/>
    <w:rsid w:val="00B126DA"/>
    <w:rsid w:val="00B13AA2"/>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3962"/>
    <w:rsid w:val="00BF403E"/>
    <w:rsid w:val="00BF53E9"/>
    <w:rsid w:val="00BF5C82"/>
    <w:rsid w:val="00BF6601"/>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2DF1"/>
    <w:rsid w:val="00CC4934"/>
    <w:rsid w:val="00CC58C3"/>
    <w:rsid w:val="00CD229F"/>
    <w:rsid w:val="00CD4D84"/>
    <w:rsid w:val="00CE2D1F"/>
    <w:rsid w:val="00CE316E"/>
    <w:rsid w:val="00CE52F0"/>
    <w:rsid w:val="00CF121A"/>
    <w:rsid w:val="00CF18A3"/>
    <w:rsid w:val="00CF356A"/>
    <w:rsid w:val="00CF4A61"/>
    <w:rsid w:val="00CF4B9A"/>
    <w:rsid w:val="00D0108B"/>
    <w:rsid w:val="00D029CB"/>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D79"/>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63DB"/>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624"/>
    <w:rsid w:val="00DC1BA2"/>
    <w:rsid w:val="00DC22BE"/>
    <w:rsid w:val="00DC45CD"/>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6C9C"/>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535D7"/>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19D"/>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3F1"/>
    <w:rsid w:val="00F3464D"/>
    <w:rsid w:val="00F34AA7"/>
    <w:rsid w:val="00F34C35"/>
    <w:rsid w:val="00F35C46"/>
    <w:rsid w:val="00F36774"/>
    <w:rsid w:val="00F405D4"/>
    <w:rsid w:val="00F40AA9"/>
    <w:rsid w:val="00F40C50"/>
    <w:rsid w:val="00F40FD9"/>
    <w:rsid w:val="00F4100B"/>
    <w:rsid w:val="00F411DB"/>
    <w:rsid w:val="00F4307A"/>
    <w:rsid w:val="00F43C34"/>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582FCA"/>
    <w:rsid w:val="016F2955"/>
    <w:rsid w:val="01A61BCC"/>
    <w:rsid w:val="01DB35BC"/>
    <w:rsid w:val="01E06294"/>
    <w:rsid w:val="02090528"/>
    <w:rsid w:val="02096E03"/>
    <w:rsid w:val="021A15C5"/>
    <w:rsid w:val="0276200A"/>
    <w:rsid w:val="02852DB6"/>
    <w:rsid w:val="02AF57A1"/>
    <w:rsid w:val="02B750FF"/>
    <w:rsid w:val="02C63FE5"/>
    <w:rsid w:val="02E5442A"/>
    <w:rsid w:val="02F13DD8"/>
    <w:rsid w:val="032E412C"/>
    <w:rsid w:val="03397D1D"/>
    <w:rsid w:val="034C2C19"/>
    <w:rsid w:val="03695ACD"/>
    <w:rsid w:val="036E1C26"/>
    <w:rsid w:val="037439E2"/>
    <w:rsid w:val="03811AAC"/>
    <w:rsid w:val="038C6338"/>
    <w:rsid w:val="03BC3684"/>
    <w:rsid w:val="041E10AB"/>
    <w:rsid w:val="0427122D"/>
    <w:rsid w:val="04405CD4"/>
    <w:rsid w:val="04635DF4"/>
    <w:rsid w:val="04CA0EF3"/>
    <w:rsid w:val="05D1293B"/>
    <w:rsid w:val="05DD432B"/>
    <w:rsid w:val="062609E2"/>
    <w:rsid w:val="06270E5D"/>
    <w:rsid w:val="06301129"/>
    <w:rsid w:val="06931225"/>
    <w:rsid w:val="06997BBE"/>
    <w:rsid w:val="06FD17FF"/>
    <w:rsid w:val="07332E45"/>
    <w:rsid w:val="07393CB3"/>
    <w:rsid w:val="074F610E"/>
    <w:rsid w:val="07645E7E"/>
    <w:rsid w:val="07815AA2"/>
    <w:rsid w:val="07DB31F6"/>
    <w:rsid w:val="08036844"/>
    <w:rsid w:val="0813454F"/>
    <w:rsid w:val="082E3074"/>
    <w:rsid w:val="083828A5"/>
    <w:rsid w:val="08634AA9"/>
    <w:rsid w:val="086A0D8F"/>
    <w:rsid w:val="08870B03"/>
    <w:rsid w:val="08DF3B5A"/>
    <w:rsid w:val="08F85767"/>
    <w:rsid w:val="09253E9C"/>
    <w:rsid w:val="0929781C"/>
    <w:rsid w:val="09324291"/>
    <w:rsid w:val="095438C6"/>
    <w:rsid w:val="0962097D"/>
    <w:rsid w:val="098B1EF5"/>
    <w:rsid w:val="09911B95"/>
    <w:rsid w:val="09945F3A"/>
    <w:rsid w:val="09CB5A6C"/>
    <w:rsid w:val="09CF7F1B"/>
    <w:rsid w:val="09F00BD8"/>
    <w:rsid w:val="09F318B6"/>
    <w:rsid w:val="09FD6E02"/>
    <w:rsid w:val="0A1A74F5"/>
    <w:rsid w:val="0A1D73FF"/>
    <w:rsid w:val="0A3737D9"/>
    <w:rsid w:val="0A750F68"/>
    <w:rsid w:val="0A8417D4"/>
    <w:rsid w:val="0A892DAE"/>
    <w:rsid w:val="0AE61C59"/>
    <w:rsid w:val="0AEC356E"/>
    <w:rsid w:val="0AF22A25"/>
    <w:rsid w:val="0B545B44"/>
    <w:rsid w:val="0B7B4C3E"/>
    <w:rsid w:val="0B866A92"/>
    <w:rsid w:val="0BCC7616"/>
    <w:rsid w:val="0BFC2A25"/>
    <w:rsid w:val="0C0E0547"/>
    <w:rsid w:val="0C34609D"/>
    <w:rsid w:val="0C4A196E"/>
    <w:rsid w:val="0C567D3B"/>
    <w:rsid w:val="0C7F2DB2"/>
    <w:rsid w:val="0CBA1583"/>
    <w:rsid w:val="0CBC415D"/>
    <w:rsid w:val="0CD249CC"/>
    <w:rsid w:val="0D0E7FCB"/>
    <w:rsid w:val="0D4246F7"/>
    <w:rsid w:val="0D5B571E"/>
    <w:rsid w:val="0D9222C1"/>
    <w:rsid w:val="0DC045AB"/>
    <w:rsid w:val="0DFF7D07"/>
    <w:rsid w:val="0E374CA0"/>
    <w:rsid w:val="0E6F0740"/>
    <w:rsid w:val="0EA17CB5"/>
    <w:rsid w:val="0EC0431F"/>
    <w:rsid w:val="0EC841AC"/>
    <w:rsid w:val="0F321E2D"/>
    <w:rsid w:val="0F4E2E70"/>
    <w:rsid w:val="0F6715A1"/>
    <w:rsid w:val="0F8070F6"/>
    <w:rsid w:val="0FA731D6"/>
    <w:rsid w:val="0FEB5B51"/>
    <w:rsid w:val="0FFB5943"/>
    <w:rsid w:val="10232DBB"/>
    <w:rsid w:val="103246BB"/>
    <w:rsid w:val="103F55E5"/>
    <w:rsid w:val="10685221"/>
    <w:rsid w:val="108C2AA3"/>
    <w:rsid w:val="10DE14BF"/>
    <w:rsid w:val="10DF3115"/>
    <w:rsid w:val="113E3C41"/>
    <w:rsid w:val="115043F2"/>
    <w:rsid w:val="11793F32"/>
    <w:rsid w:val="11B5797D"/>
    <w:rsid w:val="11C5124A"/>
    <w:rsid w:val="11DD4AE3"/>
    <w:rsid w:val="11E15AE5"/>
    <w:rsid w:val="11E53E9B"/>
    <w:rsid w:val="11FC2643"/>
    <w:rsid w:val="11FC5F30"/>
    <w:rsid w:val="120048B1"/>
    <w:rsid w:val="12015140"/>
    <w:rsid w:val="12394E59"/>
    <w:rsid w:val="127D584B"/>
    <w:rsid w:val="1299671F"/>
    <w:rsid w:val="12A742B1"/>
    <w:rsid w:val="12C40C84"/>
    <w:rsid w:val="12E63AB1"/>
    <w:rsid w:val="13036F01"/>
    <w:rsid w:val="131813A1"/>
    <w:rsid w:val="13DC640D"/>
    <w:rsid w:val="141842FE"/>
    <w:rsid w:val="14352831"/>
    <w:rsid w:val="146B64E1"/>
    <w:rsid w:val="14993B21"/>
    <w:rsid w:val="14D73601"/>
    <w:rsid w:val="15014A40"/>
    <w:rsid w:val="15283F81"/>
    <w:rsid w:val="15442AC7"/>
    <w:rsid w:val="156B4B8B"/>
    <w:rsid w:val="15762F38"/>
    <w:rsid w:val="15890495"/>
    <w:rsid w:val="15893A7B"/>
    <w:rsid w:val="15CB3D7D"/>
    <w:rsid w:val="15E03D6F"/>
    <w:rsid w:val="15EE6FF0"/>
    <w:rsid w:val="15EF5060"/>
    <w:rsid w:val="168179E1"/>
    <w:rsid w:val="16950091"/>
    <w:rsid w:val="169C366A"/>
    <w:rsid w:val="16DA1E4D"/>
    <w:rsid w:val="16FB015A"/>
    <w:rsid w:val="17003574"/>
    <w:rsid w:val="17156A85"/>
    <w:rsid w:val="17535B24"/>
    <w:rsid w:val="17A31370"/>
    <w:rsid w:val="17AE1B61"/>
    <w:rsid w:val="17B06B1C"/>
    <w:rsid w:val="17DB5457"/>
    <w:rsid w:val="17F53DC6"/>
    <w:rsid w:val="180B4FFB"/>
    <w:rsid w:val="18211C57"/>
    <w:rsid w:val="1842664F"/>
    <w:rsid w:val="18543673"/>
    <w:rsid w:val="186B7D0B"/>
    <w:rsid w:val="189D065F"/>
    <w:rsid w:val="18BC6F6C"/>
    <w:rsid w:val="18DC52D7"/>
    <w:rsid w:val="18F32BCE"/>
    <w:rsid w:val="18F47A1E"/>
    <w:rsid w:val="18FC4F8D"/>
    <w:rsid w:val="18FF4ABB"/>
    <w:rsid w:val="19343406"/>
    <w:rsid w:val="1A45032B"/>
    <w:rsid w:val="1A640E62"/>
    <w:rsid w:val="1A694128"/>
    <w:rsid w:val="1A713779"/>
    <w:rsid w:val="1A84217D"/>
    <w:rsid w:val="1A9B1F53"/>
    <w:rsid w:val="1ABB54B3"/>
    <w:rsid w:val="1ADD47AF"/>
    <w:rsid w:val="1AE025B8"/>
    <w:rsid w:val="1B27429F"/>
    <w:rsid w:val="1B287D14"/>
    <w:rsid w:val="1B3D4012"/>
    <w:rsid w:val="1B481AFB"/>
    <w:rsid w:val="1B7A1663"/>
    <w:rsid w:val="1B8F6978"/>
    <w:rsid w:val="1BA669C0"/>
    <w:rsid w:val="1BC27038"/>
    <w:rsid w:val="1BC73993"/>
    <w:rsid w:val="1BD24B16"/>
    <w:rsid w:val="1BF62321"/>
    <w:rsid w:val="1C130C67"/>
    <w:rsid w:val="1C1A3F41"/>
    <w:rsid w:val="1C2D5D31"/>
    <w:rsid w:val="1C696E9C"/>
    <w:rsid w:val="1CBD093F"/>
    <w:rsid w:val="1CC83450"/>
    <w:rsid w:val="1CE21C50"/>
    <w:rsid w:val="1CE9601A"/>
    <w:rsid w:val="1D235F66"/>
    <w:rsid w:val="1D60463E"/>
    <w:rsid w:val="1D665A9E"/>
    <w:rsid w:val="1D667D51"/>
    <w:rsid w:val="1D8D3AB3"/>
    <w:rsid w:val="1DC566C0"/>
    <w:rsid w:val="1DE501D0"/>
    <w:rsid w:val="1E21472F"/>
    <w:rsid w:val="1E2442EB"/>
    <w:rsid w:val="1E2804C4"/>
    <w:rsid w:val="1E2C49A1"/>
    <w:rsid w:val="1E3722FA"/>
    <w:rsid w:val="1E6A1059"/>
    <w:rsid w:val="1E8146DA"/>
    <w:rsid w:val="1EA46EA2"/>
    <w:rsid w:val="1EAA39F6"/>
    <w:rsid w:val="1EB2633F"/>
    <w:rsid w:val="1EB847E9"/>
    <w:rsid w:val="1F853F14"/>
    <w:rsid w:val="1F8E0455"/>
    <w:rsid w:val="1FA76059"/>
    <w:rsid w:val="1FAF272D"/>
    <w:rsid w:val="1FC76FC8"/>
    <w:rsid w:val="1FDB17D6"/>
    <w:rsid w:val="1FE374E8"/>
    <w:rsid w:val="1FFC5344"/>
    <w:rsid w:val="204934AB"/>
    <w:rsid w:val="20573F56"/>
    <w:rsid w:val="20705710"/>
    <w:rsid w:val="20840318"/>
    <w:rsid w:val="20930DFA"/>
    <w:rsid w:val="20CE5836"/>
    <w:rsid w:val="20D02BC7"/>
    <w:rsid w:val="20F0405B"/>
    <w:rsid w:val="210637EE"/>
    <w:rsid w:val="210948AE"/>
    <w:rsid w:val="211E529B"/>
    <w:rsid w:val="212F726E"/>
    <w:rsid w:val="213A5E32"/>
    <w:rsid w:val="214425B4"/>
    <w:rsid w:val="21783992"/>
    <w:rsid w:val="218F6DAE"/>
    <w:rsid w:val="21A40526"/>
    <w:rsid w:val="21D36B48"/>
    <w:rsid w:val="21D93ECC"/>
    <w:rsid w:val="221B7641"/>
    <w:rsid w:val="222E4F94"/>
    <w:rsid w:val="223B5FD0"/>
    <w:rsid w:val="224F5646"/>
    <w:rsid w:val="22565B2D"/>
    <w:rsid w:val="229A0A46"/>
    <w:rsid w:val="22BD0C78"/>
    <w:rsid w:val="22D5441E"/>
    <w:rsid w:val="22D61F71"/>
    <w:rsid w:val="23170589"/>
    <w:rsid w:val="232660FF"/>
    <w:rsid w:val="23BE01FF"/>
    <w:rsid w:val="2418652F"/>
    <w:rsid w:val="245A1846"/>
    <w:rsid w:val="248512BD"/>
    <w:rsid w:val="24DF29CF"/>
    <w:rsid w:val="24E51B39"/>
    <w:rsid w:val="25173A41"/>
    <w:rsid w:val="252D5DCC"/>
    <w:rsid w:val="255B75CB"/>
    <w:rsid w:val="25841D88"/>
    <w:rsid w:val="25983F03"/>
    <w:rsid w:val="25A45302"/>
    <w:rsid w:val="25A94E88"/>
    <w:rsid w:val="25C84E2B"/>
    <w:rsid w:val="25E135DF"/>
    <w:rsid w:val="261E413F"/>
    <w:rsid w:val="263E633F"/>
    <w:rsid w:val="267E599C"/>
    <w:rsid w:val="26995B41"/>
    <w:rsid w:val="26C17FC8"/>
    <w:rsid w:val="26D04B06"/>
    <w:rsid w:val="2771651B"/>
    <w:rsid w:val="27771F24"/>
    <w:rsid w:val="27997F2B"/>
    <w:rsid w:val="27B132D6"/>
    <w:rsid w:val="27B94A5B"/>
    <w:rsid w:val="27FF1FDA"/>
    <w:rsid w:val="28026CAF"/>
    <w:rsid w:val="28447529"/>
    <w:rsid w:val="28915210"/>
    <w:rsid w:val="28937E74"/>
    <w:rsid w:val="29095102"/>
    <w:rsid w:val="293E1B9C"/>
    <w:rsid w:val="299F2C32"/>
    <w:rsid w:val="29A240AE"/>
    <w:rsid w:val="29A81AA0"/>
    <w:rsid w:val="29B32846"/>
    <w:rsid w:val="29ED63D5"/>
    <w:rsid w:val="2A125FBB"/>
    <w:rsid w:val="2A275682"/>
    <w:rsid w:val="2A275D46"/>
    <w:rsid w:val="2A725700"/>
    <w:rsid w:val="2AA14025"/>
    <w:rsid w:val="2AA2481F"/>
    <w:rsid w:val="2ACA4643"/>
    <w:rsid w:val="2B2348E2"/>
    <w:rsid w:val="2B410587"/>
    <w:rsid w:val="2B5D0645"/>
    <w:rsid w:val="2B8632BF"/>
    <w:rsid w:val="2B8D6E28"/>
    <w:rsid w:val="2B907720"/>
    <w:rsid w:val="2BCD0751"/>
    <w:rsid w:val="2C227360"/>
    <w:rsid w:val="2C7F2EA6"/>
    <w:rsid w:val="2C8C2358"/>
    <w:rsid w:val="2C8E4E6A"/>
    <w:rsid w:val="2C9927E7"/>
    <w:rsid w:val="2CA56F60"/>
    <w:rsid w:val="2CAF2767"/>
    <w:rsid w:val="2CAF5212"/>
    <w:rsid w:val="2CFB59F1"/>
    <w:rsid w:val="2D125EB2"/>
    <w:rsid w:val="2D1E05D5"/>
    <w:rsid w:val="2D306F6B"/>
    <w:rsid w:val="2D5627A8"/>
    <w:rsid w:val="2D8D29A8"/>
    <w:rsid w:val="2D9A6090"/>
    <w:rsid w:val="2DBD4FAF"/>
    <w:rsid w:val="2DDF7C66"/>
    <w:rsid w:val="2DFB709E"/>
    <w:rsid w:val="2E09336F"/>
    <w:rsid w:val="2E1874A7"/>
    <w:rsid w:val="2E291A3B"/>
    <w:rsid w:val="2EC27772"/>
    <w:rsid w:val="2ED0428B"/>
    <w:rsid w:val="2EF02B88"/>
    <w:rsid w:val="2F263E1B"/>
    <w:rsid w:val="2F337D9E"/>
    <w:rsid w:val="300160A4"/>
    <w:rsid w:val="3003631E"/>
    <w:rsid w:val="30745F5B"/>
    <w:rsid w:val="3078124A"/>
    <w:rsid w:val="3090209F"/>
    <w:rsid w:val="30953FB5"/>
    <w:rsid w:val="30B900CD"/>
    <w:rsid w:val="30EF2DA4"/>
    <w:rsid w:val="31623402"/>
    <w:rsid w:val="31EB4942"/>
    <w:rsid w:val="31EC5E5F"/>
    <w:rsid w:val="32187B45"/>
    <w:rsid w:val="32362071"/>
    <w:rsid w:val="3273050E"/>
    <w:rsid w:val="32891F62"/>
    <w:rsid w:val="328C1583"/>
    <w:rsid w:val="32BA51FE"/>
    <w:rsid w:val="32C9080C"/>
    <w:rsid w:val="32CA0CF4"/>
    <w:rsid w:val="32E51067"/>
    <w:rsid w:val="32FC45E1"/>
    <w:rsid w:val="334275F5"/>
    <w:rsid w:val="33636F14"/>
    <w:rsid w:val="33670485"/>
    <w:rsid w:val="33C54618"/>
    <w:rsid w:val="33CE360E"/>
    <w:rsid w:val="33F922E8"/>
    <w:rsid w:val="34211C7C"/>
    <w:rsid w:val="347A4EB8"/>
    <w:rsid w:val="35183D8B"/>
    <w:rsid w:val="35387D52"/>
    <w:rsid w:val="35523D5A"/>
    <w:rsid w:val="356926AE"/>
    <w:rsid w:val="35746D1B"/>
    <w:rsid w:val="358E0757"/>
    <w:rsid w:val="35AE7101"/>
    <w:rsid w:val="35BB43C3"/>
    <w:rsid w:val="35F9212A"/>
    <w:rsid w:val="36281B26"/>
    <w:rsid w:val="36336C04"/>
    <w:rsid w:val="366043F8"/>
    <w:rsid w:val="366626F2"/>
    <w:rsid w:val="36815360"/>
    <w:rsid w:val="369176BA"/>
    <w:rsid w:val="369D6E52"/>
    <w:rsid w:val="36C63FD4"/>
    <w:rsid w:val="36D74E42"/>
    <w:rsid w:val="36EC0BD4"/>
    <w:rsid w:val="374F6194"/>
    <w:rsid w:val="37503514"/>
    <w:rsid w:val="377F6041"/>
    <w:rsid w:val="37BC7D72"/>
    <w:rsid w:val="37D133A4"/>
    <w:rsid w:val="37E15A1B"/>
    <w:rsid w:val="380F66D8"/>
    <w:rsid w:val="381F6D33"/>
    <w:rsid w:val="382E42A6"/>
    <w:rsid w:val="38A75F14"/>
    <w:rsid w:val="38BD2C6C"/>
    <w:rsid w:val="38E022B1"/>
    <w:rsid w:val="38EC59C6"/>
    <w:rsid w:val="38FA0996"/>
    <w:rsid w:val="392957F1"/>
    <w:rsid w:val="39467E4B"/>
    <w:rsid w:val="396E02FE"/>
    <w:rsid w:val="39781F0B"/>
    <w:rsid w:val="39813C35"/>
    <w:rsid w:val="3982272C"/>
    <w:rsid w:val="399648C1"/>
    <w:rsid w:val="39BB3B43"/>
    <w:rsid w:val="39E31D59"/>
    <w:rsid w:val="3A156CE0"/>
    <w:rsid w:val="3A277789"/>
    <w:rsid w:val="3A282070"/>
    <w:rsid w:val="3A2D66D3"/>
    <w:rsid w:val="3A774C42"/>
    <w:rsid w:val="3A891A0E"/>
    <w:rsid w:val="3A8950EF"/>
    <w:rsid w:val="3A9620D1"/>
    <w:rsid w:val="3AA26C9B"/>
    <w:rsid w:val="3ADC5E36"/>
    <w:rsid w:val="3AFC2B33"/>
    <w:rsid w:val="3AFC41BB"/>
    <w:rsid w:val="3B7071D7"/>
    <w:rsid w:val="3B7F2802"/>
    <w:rsid w:val="3B8B43E4"/>
    <w:rsid w:val="3BB502C9"/>
    <w:rsid w:val="3BC33F8E"/>
    <w:rsid w:val="3BCE7F95"/>
    <w:rsid w:val="3C087392"/>
    <w:rsid w:val="3C3F7E0E"/>
    <w:rsid w:val="3C893061"/>
    <w:rsid w:val="3CB674D9"/>
    <w:rsid w:val="3CBD1AE8"/>
    <w:rsid w:val="3D0F30FA"/>
    <w:rsid w:val="3D634A82"/>
    <w:rsid w:val="3D9210CE"/>
    <w:rsid w:val="3D984876"/>
    <w:rsid w:val="3DAC0E95"/>
    <w:rsid w:val="3E117877"/>
    <w:rsid w:val="3E176CAE"/>
    <w:rsid w:val="3E7A082F"/>
    <w:rsid w:val="3E926EC3"/>
    <w:rsid w:val="3E93478A"/>
    <w:rsid w:val="3E9F10BF"/>
    <w:rsid w:val="3EAB4933"/>
    <w:rsid w:val="3EC40624"/>
    <w:rsid w:val="3F0875E3"/>
    <w:rsid w:val="3F09726C"/>
    <w:rsid w:val="3F1F25CF"/>
    <w:rsid w:val="3F4275F7"/>
    <w:rsid w:val="3F495E7B"/>
    <w:rsid w:val="3F5B21D1"/>
    <w:rsid w:val="3F73510D"/>
    <w:rsid w:val="3F8759C3"/>
    <w:rsid w:val="3FB60A94"/>
    <w:rsid w:val="3FBD74AC"/>
    <w:rsid w:val="402D7D95"/>
    <w:rsid w:val="402F67F2"/>
    <w:rsid w:val="402F7D1A"/>
    <w:rsid w:val="405E7B10"/>
    <w:rsid w:val="40D44E00"/>
    <w:rsid w:val="40E74724"/>
    <w:rsid w:val="411531A3"/>
    <w:rsid w:val="414B0A93"/>
    <w:rsid w:val="415723A1"/>
    <w:rsid w:val="41643432"/>
    <w:rsid w:val="41CD5A5E"/>
    <w:rsid w:val="421B0E01"/>
    <w:rsid w:val="42397238"/>
    <w:rsid w:val="42481B2A"/>
    <w:rsid w:val="428328E7"/>
    <w:rsid w:val="42F81741"/>
    <w:rsid w:val="42FD5B58"/>
    <w:rsid w:val="437906BF"/>
    <w:rsid w:val="43896179"/>
    <w:rsid w:val="43945CC5"/>
    <w:rsid w:val="43BC7AB7"/>
    <w:rsid w:val="43CE3BC6"/>
    <w:rsid w:val="43FB5AF0"/>
    <w:rsid w:val="440B4BBE"/>
    <w:rsid w:val="44211E9A"/>
    <w:rsid w:val="443909A1"/>
    <w:rsid w:val="4454633F"/>
    <w:rsid w:val="44555A83"/>
    <w:rsid w:val="446A1C8A"/>
    <w:rsid w:val="448E37BC"/>
    <w:rsid w:val="44C70D28"/>
    <w:rsid w:val="44EE2D37"/>
    <w:rsid w:val="44F2313F"/>
    <w:rsid w:val="44F66A73"/>
    <w:rsid w:val="45465A74"/>
    <w:rsid w:val="457210D8"/>
    <w:rsid w:val="45E30915"/>
    <w:rsid w:val="45E40321"/>
    <w:rsid w:val="45FC7E93"/>
    <w:rsid w:val="4625557D"/>
    <w:rsid w:val="464F0E9C"/>
    <w:rsid w:val="465173C0"/>
    <w:rsid w:val="467E3F9B"/>
    <w:rsid w:val="4681678B"/>
    <w:rsid w:val="46825B05"/>
    <w:rsid w:val="4684656F"/>
    <w:rsid w:val="46867C6B"/>
    <w:rsid w:val="46CC7A0B"/>
    <w:rsid w:val="47047ED5"/>
    <w:rsid w:val="470D32F9"/>
    <w:rsid w:val="473D266B"/>
    <w:rsid w:val="47A30EFE"/>
    <w:rsid w:val="47B952BD"/>
    <w:rsid w:val="47E221AB"/>
    <w:rsid w:val="47FE7D60"/>
    <w:rsid w:val="48110BF4"/>
    <w:rsid w:val="48200D75"/>
    <w:rsid w:val="48283643"/>
    <w:rsid w:val="484C3C28"/>
    <w:rsid w:val="48516D40"/>
    <w:rsid w:val="486A5C7B"/>
    <w:rsid w:val="48BB3F94"/>
    <w:rsid w:val="48DE0121"/>
    <w:rsid w:val="48DF2E4F"/>
    <w:rsid w:val="48E03D9C"/>
    <w:rsid w:val="490B656E"/>
    <w:rsid w:val="49374149"/>
    <w:rsid w:val="495C016E"/>
    <w:rsid w:val="49613924"/>
    <w:rsid w:val="496D0F3E"/>
    <w:rsid w:val="49736122"/>
    <w:rsid w:val="49BA69E4"/>
    <w:rsid w:val="49C91669"/>
    <w:rsid w:val="49E12571"/>
    <w:rsid w:val="49E378C6"/>
    <w:rsid w:val="4A2C24D8"/>
    <w:rsid w:val="4A834EBE"/>
    <w:rsid w:val="4AB03CA7"/>
    <w:rsid w:val="4B3040AF"/>
    <w:rsid w:val="4B55574A"/>
    <w:rsid w:val="4B691429"/>
    <w:rsid w:val="4B8B3072"/>
    <w:rsid w:val="4B98035B"/>
    <w:rsid w:val="4BA90131"/>
    <w:rsid w:val="4BB36285"/>
    <w:rsid w:val="4BD35EC5"/>
    <w:rsid w:val="4BF55CE7"/>
    <w:rsid w:val="4C1B3C0A"/>
    <w:rsid w:val="4C4846F9"/>
    <w:rsid w:val="4CAC205F"/>
    <w:rsid w:val="4CB652AF"/>
    <w:rsid w:val="4CBC728A"/>
    <w:rsid w:val="4CD02623"/>
    <w:rsid w:val="4CFB69A6"/>
    <w:rsid w:val="4D2316EA"/>
    <w:rsid w:val="4D267491"/>
    <w:rsid w:val="4D830955"/>
    <w:rsid w:val="4DBA0BBF"/>
    <w:rsid w:val="4DF641D3"/>
    <w:rsid w:val="4E142C10"/>
    <w:rsid w:val="4E3E017D"/>
    <w:rsid w:val="4E595188"/>
    <w:rsid w:val="4E5F59DA"/>
    <w:rsid w:val="4E9C207E"/>
    <w:rsid w:val="4EA44C2A"/>
    <w:rsid w:val="4EB52600"/>
    <w:rsid w:val="4EF04DAF"/>
    <w:rsid w:val="4EF23E87"/>
    <w:rsid w:val="4F2941D5"/>
    <w:rsid w:val="4F6760FD"/>
    <w:rsid w:val="4FBC4EE8"/>
    <w:rsid w:val="4FFC0A94"/>
    <w:rsid w:val="50081059"/>
    <w:rsid w:val="503130FA"/>
    <w:rsid w:val="509C4E92"/>
    <w:rsid w:val="50EA436D"/>
    <w:rsid w:val="50F36CD9"/>
    <w:rsid w:val="512E641B"/>
    <w:rsid w:val="517D059D"/>
    <w:rsid w:val="5187443E"/>
    <w:rsid w:val="519A289D"/>
    <w:rsid w:val="51FA56D9"/>
    <w:rsid w:val="521723B7"/>
    <w:rsid w:val="523F7F97"/>
    <w:rsid w:val="527E64FF"/>
    <w:rsid w:val="52FA6FA7"/>
    <w:rsid w:val="53047529"/>
    <w:rsid w:val="530E6302"/>
    <w:rsid w:val="53112356"/>
    <w:rsid w:val="53B9060B"/>
    <w:rsid w:val="54107975"/>
    <w:rsid w:val="5451551D"/>
    <w:rsid w:val="548B3E8B"/>
    <w:rsid w:val="548C2C0D"/>
    <w:rsid w:val="54D6790A"/>
    <w:rsid w:val="54DF4ADE"/>
    <w:rsid w:val="55205953"/>
    <w:rsid w:val="553A4CBA"/>
    <w:rsid w:val="55622A1E"/>
    <w:rsid w:val="557E6857"/>
    <w:rsid w:val="55880F5E"/>
    <w:rsid w:val="55C36E95"/>
    <w:rsid w:val="55E15918"/>
    <w:rsid w:val="55E65C45"/>
    <w:rsid w:val="55F9753C"/>
    <w:rsid w:val="55FA344A"/>
    <w:rsid w:val="560E1027"/>
    <w:rsid w:val="5616542D"/>
    <w:rsid w:val="563A460F"/>
    <w:rsid w:val="564F769C"/>
    <w:rsid w:val="566B6C45"/>
    <w:rsid w:val="56975E59"/>
    <w:rsid w:val="569C350B"/>
    <w:rsid w:val="56BF0EA2"/>
    <w:rsid w:val="56D31AD8"/>
    <w:rsid w:val="56EA3918"/>
    <w:rsid w:val="570C7452"/>
    <w:rsid w:val="57115AD5"/>
    <w:rsid w:val="57460503"/>
    <w:rsid w:val="575272DC"/>
    <w:rsid w:val="575370FA"/>
    <w:rsid w:val="57A954D4"/>
    <w:rsid w:val="57B548D9"/>
    <w:rsid w:val="57BD0A78"/>
    <w:rsid w:val="57DC6FDD"/>
    <w:rsid w:val="57FB5F50"/>
    <w:rsid w:val="57FE1547"/>
    <w:rsid w:val="58067D1A"/>
    <w:rsid w:val="586919C2"/>
    <w:rsid w:val="58984B29"/>
    <w:rsid w:val="589E7340"/>
    <w:rsid w:val="58A57278"/>
    <w:rsid w:val="58B03A4A"/>
    <w:rsid w:val="590D5DDF"/>
    <w:rsid w:val="592B53B8"/>
    <w:rsid w:val="596D2668"/>
    <w:rsid w:val="596F34AA"/>
    <w:rsid w:val="59974D7F"/>
    <w:rsid w:val="59C407FC"/>
    <w:rsid w:val="59C754AB"/>
    <w:rsid w:val="59E079AB"/>
    <w:rsid w:val="5A375749"/>
    <w:rsid w:val="5A415385"/>
    <w:rsid w:val="5A5A162D"/>
    <w:rsid w:val="5A6511C0"/>
    <w:rsid w:val="5A726BA0"/>
    <w:rsid w:val="5AB04EA5"/>
    <w:rsid w:val="5AB82FDD"/>
    <w:rsid w:val="5AD3204F"/>
    <w:rsid w:val="5AE94788"/>
    <w:rsid w:val="5B071BBA"/>
    <w:rsid w:val="5B3C55BF"/>
    <w:rsid w:val="5B63756F"/>
    <w:rsid w:val="5B725B6B"/>
    <w:rsid w:val="5B885A00"/>
    <w:rsid w:val="5BBE026D"/>
    <w:rsid w:val="5BD439A7"/>
    <w:rsid w:val="5BDF3319"/>
    <w:rsid w:val="5BE14EE6"/>
    <w:rsid w:val="5C7979D9"/>
    <w:rsid w:val="5C991133"/>
    <w:rsid w:val="5C995E25"/>
    <w:rsid w:val="5CA67DE0"/>
    <w:rsid w:val="5D471B74"/>
    <w:rsid w:val="5D5144C0"/>
    <w:rsid w:val="5D872BD6"/>
    <w:rsid w:val="5D8D143F"/>
    <w:rsid w:val="5DF13FC8"/>
    <w:rsid w:val="5DFB2BCA"/>
    <w:rsid w:val="5E147908"/>
    <w:rsid w:val="5E2A7858"/>
    <w:rsid w:val="5E511874"/>
    <w:rsid w:val="5E790BE8"/>
    <w:rsid w:val="5E973039"/>
    <w:rsid w:val="5EA87B0A"/>
    <w:rsid w:val="5EB119EE"/>
    <w:rsid w:val="5EB467AE"/>
    <w:rsid w:val="5EEF7AA9"/>
    <w:rsid w:val="5F3E2940"/>
    <w:rsid w:val="5F4945D9"/>
    <w:rsid w:val="5F4E4F30"/>
    <w:rsid w:val="5F825446"/>
    <w:rsid w:val="5F982B77"/>
    <w:rsid w:val="5FAE4FA2"/>
    <w:rsid w:val="5FBE69BB"/>
    <w:rsid w:val="5FCB4192"/>
    <w:rsid w:val="600E7577"/>
    <w:rsid w:val="601A7A49"/>
    <w:rsid w:val="602F4794"/>
    <w:rsid w:val="607F4912"/>
    <w:rsid w:val="60881A7C"/>
    <w:rsid w:val="609751E5"/>
    <w:rsid w:val="60A617F0"/>
    <w:rsid w:val="60C10976"/>
    <w:rsid w:val="61563C9D"/>
    <w:rsid w:val="61C16E82"/>
    <w:rsid w:val="61CB5141"/>
    <w:rsid w:val="61D81A5C"/>
    <w:rsid w:val="61ED67CB"/>
    <w:rsid w:val="61FB7175"/>
    <w:rsid w:val="620D1678"/>
    <w:rsid w:val="624E53D8"/>
    <w:rsid w:val="624F1D5A"/>
    <w:rsid w:val="62B8321C"/>
    <w:rsid w:val="62CE4A2F"/>
    <w:rsid w:val="630962B4"/>
    <w:rsid w:val="63766DF5"/>
    <w:rsid w:val="63A35F0B"/>
    <w:rsid w:val="63BE6B4B"/>
    <w:rsid w:val="63D91547"/>
    <w:rsid w:val="63E41E32"/>
    <w:rsid w:val="63F6588B"/>
    <w:rsid w:val="6406254B"/>
    <w:rsid w:val="643636FB"/>
    <w:rsid w:val="64522BD2"/>
    <w:rsid w:val="646766DC"/>
    <w:rsid w:val="648A4A7E"/>
    <w:rsid w:val="64A35F70"/>
    <w:rsid w:val="64B43FCC"/>
    <w:rsid w:val="64E010F2"/>
    <w:rsid w:val="6503009D"/>
    <w:rsid w:val="6513309C"/>
    <w:rsid w:val="651E5E20"/>
    <w:rsid w:val="65535A1B"/>
    <w:rsid w:val="65654DFF"/>
    <w:rsid w:val="657E2D0B"/>
    <w:rsid w:val="657F68B0"/>
    <w:rsid w:val="65817DB1"/>
    <w:rsid w:val="65D84197"/>
    <w:rsid w:val="65F12F76"/>
    <w:rsid w:val="65FE510C"/>
    <w:rsid w:val="660E507B"/>
    <w:rsid w:val="66373410"/>
    <w:rsid w:val="663D2A37"/>
    <w:rsid w:val="66576902"/>
    <w:rsid w:val="669369C9"/>
    <w:rsid w:val="66943B2D"/>
    <w:rsid w:val="669D125A"/>
    <w:rsid w:val="66A9581B"/>
    <w:rsid w:val="66D82AA7"/>
    <w:rsid w:val="66E9436F"/>
    <w:rsid w:val="670859AA"/>
    <w:rsid w:val="67165E6D"/>
    <w:rsid w:val="675A1CF7"/>
    <w:rsid w:val="6761194F"/>
    <w:rsid w:val="67626BF9"/>
    <w:rsid w:val="677B09DF"/>
    <w:rsid w:val="677F7400"/>
    <w:rsid w:val="67A01566"/>
    <w:rsid w:val="67A63D55"/>
    <w:rsid w:val="67A84465"/>
    <w:rsid w:val="67AB3B49"/>
    <w:rsid w:val="67AC298E"/>
    <w:rsid w:val="67CF3424"/>
    <w:rsid w:val="67FA2480"/>
    <w:rsid w:val="67FF610F"/>
    <w:rsid w:val="68157B1D"/>
    <w:rsid w:val="683220D0"/>
    <w:rsid w:val="68384317"/>
    <w:rsid w:val="68566A84"/>
    <w:rsid w:val="685F312A"/>
    <w:rsid w:val="68603781"/>
    <w:rsid w:val="68C11A08"/>
    <w:rsid w:val="68CC70D7"/>
    <w:rsid w:val="69085BD7"/>
    <w:rsid w:val="69291ACC"/>
    <w:rsid w:val="693D6722"/>
    <w:rsid w:val="693F57CE"/>
    <w:rsid w:val="69433D4A"/>
    <w:rsid w:val="696B32FD"/>
    <w:rsid w:val="69797C2C"/>
    <w:rsid w:val="69AB78DD"/>
    <w:rsid w:val="69C56B8B"/>
    <w:rsid w:val="69D171A3"/>
    <w:rsid w:val="69D306AC"/>
    <w:rsid w:val="69D74CDC"/>
    <w:rsid w:val="6A206938"/>
    <w:rsid w:val="6A2F1F48"/>
    <w:rsid w:val="6A6C5A40"/>
    <w:rsid w:val="6A8D6FE2"/>
    <w:rsid w:val="6A9B47A1"/>
    <w:rsid w:val="6AFA1EBA"/>
    <w:rsid w:val="6AFF14C0"/>
    <w:rsid w:val="6B081F48"/>
    <w:rsid w:val="6B0E13E7"/>
    <w:rsid w:val="6B1301B0"/>
    <w:rsid w:val="6B29781B"/>
    <w:rsid w:val="6B387634"/>
    <w:rsid w:val="6B5068BA"/>
    <w:rsid w:val="6BAC6702"/>
    <w:rsid w:val="6BFF0085"/>
    <w:rsid w:val="6C2F5929"/>
    <w:rsid w:val="6C321BE0"/>
    <w:rsid w:val="6C45207A"/>
    <w:rsid w:val="6C5569A0"/>
    <w:rsid w:val="6C954AC2"/>
    <w:rsid w:val="6CBE6C13"/>
    <w:rsid w:val="6D17028B"/>
    <w:rsid w:val="6D2552D8"/>
    <w:rsid w:val="6D302D5D"/>
    <w:rsid w:val="6D3C235D"/>
    <w:rsid w:val="6D4D5A6D"/>
    <w:rsid w:val="6D935AB0"/>
    <w:rsid w:val="6DA62403"/>
    <w:rsid w:val="6DAB624E"/>
    <w:rsid w:val="6DEF387C"/>
    <w:rsid w:val="6DF5498C"/>
    <w:rsid w:val="6E087119"/>
    <w:rsid w:val="6E0A3A07"/>
    <w:rsid w:val="6E372360"/>
    <w:rsid w:val="6E4F724A"/>
    <w:rsid w:val="6E60770D"/>
    <w:rsid w:val="6EB80F65"/>
    <w:rsid w:val="6F037853"/>
    <w:rsid w:val="6F0B0650"/>
    <w:rsid w:val="6F57168C"/>
    <w:rsid w:val="6F7B3028"/>
    <w:rsid w:val="6FA027BC"/>
    <w:rsid w:val="6FAE0DF3"/>
    <w:rsid w:val="6FC532EA"/>
    <w:rsid w:val="6FC55DFE"/>
    <w:rsid w:val="70020A66"/>
    <w:rsid w:val="701A03F2"/>
    <w:rsid w:val="701B6FD8"/>
    <w:rsid w:val="70206DE6"/>
    <w:rsid w:val="704266E6"/>
    <w:rsid w:val="704F4DC4"/>
    <w:rsid w:val="70541201"/>
    <w:rsid w:val="70544583"/>
    <w:rsid w:val="706A7B0F"/>
    <w:rsid w:val="7080412D"/>
    <w:rsid w:val="70C34169"/>
    <w:rsid w:val="7127456D"/>
    <w:rsid w:val="712914EF"/>
    <w:rsid w:val="716329A8"/>
    <w:rsid w:val="716D1937"/>
    <w:rsid w:val="7174355C"/>
    <w:rsid w:val="717B4AB7"/>
    <w:rsid w:val="717C199B"/>
    <w:rsid w:val="71EF2FA5"/>
    <w:rsid w:val="720E19E5"/>
    <w:rsid w:val="7210341D"/>
    <w:rsid w:val="723E6D09"/>
    <w:rsid w:val="724B6754"/>
    <w:rsid w:val="725F7758"/>
    <w:rsid w:val="7261110F"/>
    <w:rsid w:val="728202A5"/>
    <w:rsid w:val="72996FE4"/>
    <w:rsid w:val="72AA7A39"/>
    <w:rsid w:val="72C12A96"/>
    <w:rsid w:val="73624F26"/>
    <w:rsid w:val="736C6888"/>
    <w:rsid w:val="737F4DAF"/>
    <w:rsid w:val="739A74E3"/>
    <w:rsid w:val="739B1EBD"/>
    <w:rsid w:val="73AF18CB"/>
    <w:rsid w:val="73B9425D"/>
    <w:rsid w:val="73BE791B"/>
    <w:rsid w:val="73ED4A58"/>
    <w:rsid w:val="73F12374"/>
    <w:rsid w:val="740422B3"/>
    <w:rsid w:val="74796ABE"/>
    <w:rsid w:val="74A87093"/>
    <w:rsid w:val="74C80433"/>
    <w:rsid w:val="74E229B4"/>
    <w:rsid w:val="74E9694C"/>
    <w:rsid w:val="74EC26A7"/>
    <w:rsid w:val="75034CF7"/>
    <w:rsid w:val="754915E5"/>
    <w:rsid w:val="759318B9"/>
    <w:rsid w:val="75DF32A0"/>
    <w:rsid w:val="75ED010F"/>
    <w:rsid w:val="760A43BF"/>
    <w:rsid w:val="761321E0"/>
    <w:rsid w:val="761450E8"/>
    <w:rsid w:val="765D589D"/>
    <w:rsid w:val="76641CF9"/>
    <w:rsid w:val="76732694"/>
    <w:rsid w:val="76A133C0"/>
    <w:rsid w:val="76D36025"/>
    <w:rsid w:val="77250572"/>
    <w:rsid w:val="772F2936"/>
    <w:rsid w:val="773F3622"/>
    <w:rsid w:val="776B6DA8"/>
    <w:rsid w:val="779D5554"/>
    <w:rsid w:val="77A44A41"/>
    <w:rsid w:val="77AF6C41"/>
    <w:rsid w:val="77B21E06"/>
    <w:rsid w:val="77DE796E"/>
    <w:rsid w:val="78035215"/>
    <w:rsid w:val="780F0912"/>
    <w:rsid w:val="784F6AB7"/>
    <w:rsid w:val="78D61CB2"/>
    <w:rsid w:val="78E83B36"/>
    <w:rsid w:val="78F104FB"/>
    <w:rsid w:val="78FD61AA"/>
    <w:rsid w:val="79493EB1"/>
    <w:rsid w:val="79572CF4"/>
    <w:rsid w:val="797C66CF"/>
    <w:rsid w:val="79A21387"/>
    <w:rsid w:val="79BF3867"/>
    <w:rsid w:val="7A0948B3"/>
    <w:rsid w:val="7A674481"/>
    <w:rsid w:val="7A7550A6"/>
    <w:rsid w:val="7AAF3771"/>
    <w:rsid w:val="7ADA2E94"/>
    <w:rsid w:val="7AE335B2"/>
    <w:rsid w:val="7AEC001A"/>
    <w:rsid w:val="7B475761"/>
    <w:rsid w:val="7B49298E"/>
    <w:rsid w:val="7B7B57F5"/>
    <w:rsid w:val="7B7D3C44"/>
    <w:rsid w:val="7BE208A5"/>
    <w:rsid w:val="7BE3068E"/>
    <w:rsid w:val="7C150EF5"/>
    <w:rsid w:val="7C186968"/>
    <w:rsid w:val="7C465BE7"/>
    <w:rsid w:val="7C4D4686"/>
    <w:rsid w:val="7C9E2FDD"/>
    <w:rsid w:val="7CAF51D0"/>
    <w:rsid w:val="7CAF6655"/>
    <w:rsid w:val="7CDA0194"/>
    <w:rsid w:val="7D2A73BF"/>
    <w:rsid w:val="7D405935"/>
    <w:rsid w:val="7D6E224F"/>
    <w:rsid w:val="7D87285F"/>
    <w:rsid w:val="7D9B3B81"/>
    <w:rsid w:val="7DA87B6D"/>
    <w:rsid w:val="7DA957CB"/>
    <w:rsid w:val="7DC82C31"/>
    <w:rsid w:val="7DF366F8"/>
    <w:rsid w:val="7E0F7674"/>
    <w:rsid w:val="7E1F6225"/>
    <w:rsid w:val="7E5940F2"/>
    <w:rsid w:val="7E5B35FF"/>
    <w:rsid w:val="7E6916D3"/>
    <w:rsid w:val="7EA33491"/>
    <w:rsid w:val="7EB6487C"/>
    <w:rsid w:val="7EF40E64"/>
    <w:rsid w:val="7EFE1A4D"/>
    <w:rsid w:val="7F2137F9"/>
    <w:rsid w:val="7F326B8C"/>
    <w:rsid w:val="7F4F38B1"/>
    <w:rsid w:val="7F504ACB"/>
    <w:rsid w:val="7F5F6399"/>
    <w:rsid w:val="7F874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2"/>
    <w:qFormat/>
    <w:uiPriority w:val="0"/>
    <w:pPr>
      <w:numPr>
        <w:ilvl w:val="2"/>
        <w:numId w:val="1"/>
      </w:numPr>
      <w:spacing w:before="260" w:after="260" w:line="416" w:lineRule="auto"/>
      <w:outlineLvl w:val="2"/>
    </w:pPr>
    <w:rPr>
      <w:sz w:val="24"/>
    </w:r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9">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eastAsia="MS Mincho"/>
      <w:kern w:val="0"/>
      <w:sz w:val="20"/>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0"/>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9"/>
    <w:unhideWhenUsed/>
    <w:qFormat/>
    <w:uiPriority w:val="0"/>
    <w:rPr>
      <w:rFonts w:ascii="宋体"/>
      <w:sz w:val="18"/>
      <w:szCs w:val="18"/>
    </w:rPr>
  </w:style>
  <w:style w:type="paragraph" w:styleId="25">
    <w:name w:val="annotation text"/>
    <w:basedOn w:val="1"/>
    <w:link w:val="176"/>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7"/>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Title"/>
    <w:basedOn w:val="1"/>
    <w:next w:val="1"/>
    <w:qFormat/>
    <w:uiPriority w:val="10"/>
    <w:pPr>
      <w:spacing w:before="240" w:after="60"/>
      <w:ind w:left="1701" w:hanging="1701"/>
      <w:outlineLvl w:val="0"/>
    </w:pPr>
    <w:rPr>
      <w:rFonts w:ascii="Arial" w:hAnsi="Arial" w:cs="Arial"/>
      <w:b/>
      <w:bCs/>
      <w:kern w:val="28"/>
    </w:rPr>
  </w:style>
  <w:style w:type="paragraph" w:styleId="56">
    <w:name w:val="annotation subject"/>
    <w:basedOn w:val="25"/>
    <w:next w:val="25"/>
    <w:link w:val="92"/>
    <w:semiHidden/>
    <w:qFormat/>
    <w:uiPriority w:val="0"/>
    <w:pPr>
      <w:widowControl/>
      <w:spacing w:before="40"/>
    </w:pPr>
    <w:rPr>
      <w:rFonts w:eastAsia="MS Mincho"/>
      <w:b/>
      <w:bCs/>
      <w:kern w:val="0"/>
      <w:sz w:val="20"/>
      <w:szCs w:val="20"/>
    </w:rPr>
  </w:style>
  <w:style w:type="table" w:styleId="58">
    <w:name w:val="Table Grid"/>
    <w:basedOn w:val="57"/>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0">
    <w:name w:val="endnote reference"/>
    <w:basedOn w:val="59"/>
    <w:qFormat/>
    <w:uiPriority w:val="0"/>
    <w:rPr>
      <w:vertAlign w:val="superscript"/>
    </w:rPr>
  </w:style>
  <w:style w:type="character" w:styleId="61">
    <w:name w:val="page number"/>
    <w:basedOn w:val="59"/>
    <w:qFormat/>
    <w:uiPriority w:val="0"/>
  </w:style>
  <w:style w:type="character" w:styleId="62">
    <w:name w:val="FollowedHyperlink"/>
    <w:basedOn w:val="59"/>
    <w:qFormat/>
    <w:uiPriority w:val="0"/>
    <w:rPr>
      <w:color w:val="800080"/>
      <w:u w:val="single"/>
    </w:rPr>
  </w:style>
  <w:style w:type="character" w:styleId="63">
    <w:name w:val="Emphasis"/>
    <w:qFormat/>
    <w:uiPriority w:val="0"/>
    <w:rPr>
      <w:i/>
      <w:iCs/>
    </w:rPr>
  </w:style>
  <w:style w:type="character" w:styleId="64">
    <w:name w:val="Hyperlink"/>
    <w:basedOn w:val="59"/>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9"/>
    <w:qFormat/>
    <w:uiPriority w:val="0"/>
    <w:rPr>
      <w:vertAlign w:val="superscript"/>
    </w:rPr>
  </w:style>
  <w:style w:type="character" w:customStyle="1" w:styleId="67">
    <w:name w:val="批注框文本 Char"/>
    <w:basedOn w:val="59"/>
    <w:link w:val="36"/>
    <w:qFormat/>
    <w:uiPriority w:val="0"/>
    <w:rPr>
      <w:kern w:val="2"/>
      <w:sz w:val="18"/>
      <w:szCs w:val="18"/>
    </w:rPr>
  </w:style>
  <w:style w:type="paragraph" w:styleId="68">
    <w:name w:val="List Paragraph"/>
    <w:basedOn w:val="1"/>
    <w:link w:val="273"/>
    <w:unhideWhenUsed/>
    <w:qFormat/>
    <w:uiPriority w:val="34"/>
    <w:pPr>
      <w:ind w:firstLine="420" w:firstLineChars="200"/>
    </w:pPr>
  </w:style>
  <w:style w:type="character" w:customStyle="1" w:styleId="69">
    <w:name w:val="文档结构图 Char"/>
    <w:basedOn w:val="59"/>
    <w:link w:val="24"/>
    <w:qFormat/>
    <w:uiPriority w:val="0"/>
    <w:rPr>
      <w:rFonts w:ascii="宋体"/>
      <w:kern w:val="2"/>
      <w:sz w:val="18"/>
      <w:szCs w:val="18"/>
    </w:rPr>
  </w:style>
  <w:style w:type="character" w:customStyle="1" w:styleId="70">
    <w:name w:val="标题 1 Char"/>
    <w:basedOn w:val="59"/>
    <w:link w:val="2"/>
    <w:qFormat/>
    <w:uiPriority w:val="0"/>
    <w:rPr>
      <w:b/>
      <w:bCs/>
      <w:kern w:val="44"/>
      <w:sz w:val="44"/>
      <w:szCs w:val="44"/>
    </w:rPr>
  </w:style>
  <w:style w:type="character" w:customStyle="1" w:styleId="71">
    <w:name w:val="标题 2 Char"/>
    <w:basedOn w:val="59"/>
    <w:link w:val="3"/>
    <w:qFormat/>
    <w:uiPriority w:val="0"/>
    <w:rPr>
      <w:rFonts w:ascii="Arial" w:hAnsi="Arial" w:eastAsia="MS Mincho"/>
      <w:sz w:val="28"/>
      <w:szCs w:val="32"/>
      <w:lang w:val="en-GB"/>
    </w:rPr>
  </w:style>
  <w:style w:type="character" w:customStyle="1" w:styleId="72">
    <w:name w:val="标题 3 Char"/>
    <w:basedOn w:val="59"/>
    <w:link w:val="4"/>
    <w:qFormat/>
    <w:uiPriority w:val="0"/>
    <w:rPr>
      <w:rFonts w:ascii="Arial" w:hAnsi="Arial" w:eastAsia="MS Mincho"/>
      <w:bCs/>
      <w:kern w:val="2"/>
      <w:sz w:val="24"/>
      <w:szCs w:val="32"/>
    </w:rPr>
  </w:style>
  <w:style w:type="character" w:customStyle="1" w:styleId="73">
    <w:name w:val="标题 4 Char"/>
    <w:basedOn w:val="59"/>
    <w:link w:val="5"/>
    <w:qFormat/>
    <w:uiPriority w:val="0"/>
    <w:rPr>
      <w:rFonts w:ascii="Arial" w:hAnsi="Arial" w:eastAsia="黑体"/>
      <w:b/>
      <w:kern w:val="2"/>
      <w:sz w:val="28"/>
      <w:szCs w:val="24"/>
    </w:rPr>
  </w:style>
  <w:style w:type="character" w:customStyle="1" w:styleId="74">
    <w:name w:val="标题 5 Char"/>
    <w:basedOn w:val="59"/>
    <w:link w:val="6"/>
    <w:qFormat/>
    <w:uiPriority w:val="0"/>
    <w:rPr>
      <w:b/>
      <w:kern w:val="2"/>
      <w:sz w:val="28"/>
      <w:szCs w:val="24"/>
    </w:rPr>
  </w:style>
  <w:style w:type="character" w:customStyle="1" w:styleId="75">
    <w:name w:val="标题 6 Char"/>
    <w:basedOn w:val="59"/>
    <w:link w:val="7"/>
    <w:qFormat/>
    <w:uiPriority w:val="0"/>
    <w:rPr>
      <w:rFonts w:ascii="Arial" w:hAnsi="Arial" w:eastAsia="黑体"/>
      <w:b/>
      <w:kern w:val="2"/>
      <w:sz w:val="24"/>
      <w:szCs w:val="24"/>
    </w:rPr>
  </w:style>
  <w:style w:type="character" w:customStyle="1" w:styleId="76">
    <w:name w:val="标题 7 Char"/>
    <w:basedOn w:val="59"/>
    <w:link w:val="8"/>
    <w:qFormat/>
    <w:uiPriority w:val="0"/>
    <w:rPr>
      <w:b/>
      <w:kern w:val="2"/>
      <w:sz w:val="24"/>
      <w:szCs w:val="24"/>
    </w:rPr>
  </w:style>
  <w:style w:type="character" w:customStyle="1" w:styleId="77">
    <w:name w:val="标题 8 Char"/>
    <w:basedOn w:val="59"/>
    <w:link w:val="9"/>
    <w:qFormat/>
    <w:uiPriority w:val="0"/>
    <w:rPr>
      <w:rFonts w:ascii="Arial" w:hAnsi="Arial" w:eastAsia="黑体"/>
      <w:kern w:val="2"/>
      <w:sz w:val="24"/>
      <w:szCs w:val="24"/>
    </w:rPr>
  </w:style>
  <w:style w:type="character" w:customStyle="1" w:styleId="78">
    <w:name w:val="标题 9 Char"/>
    <w:basedOn w:val="59"/>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eastAsia="MS Mincho"/>
      <w:kern w:val="0"/>
      <w:sz w:val="20"/>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eastAsia="MS Mincho"/>
      <w:b/>
      <w:kern w:val="0"/>
      <w:sz w:val="20"/>
    </w:rPr>
  </w:style>
  <w:style w:type="paragraph" w:customStyle="1" w:styleId="87">
    <w:name w:val="Doc-title"/>
    <w:basedOn w:val="1"/>
    <w:next w:val="83"/>
    <w:link w:val="111"/>
    <w:qFormat/>
    <w:uiPriority w:val="0"/>
    <w:pPr>
      <w:widowControl/>
      <w:ind w:left="1260" w:hanging="1260"/>
      <w:jc w:val="left"/>
    </w:pPr>
    <w:rPr>
      <w:rFonts w:eastAsia="MS Mincho"/>
      <w:kern w:val="0"/>
      <w:sz w:val="20"/>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eastAsia="Batang"/>
      <w:b/>
      <w:color w:val="0000FF"/>
      <w:sz w:val="20"/>
      <w:szCs w:val="20"/>
      <w:lang w:eastAsia="en-US"/>
    </w:rPr>
  </w:style>
  <w:style w:type="character" w:customStyle="1" w:styleId="90">
    <w:name w:val="题注 Char"/>
    <w:link w:val="22"/>
    <w:qFormat/>
    <w:uiPriority w:val="99"/>
    <w:rPr>
      <w:rFonts w:ascii="Arial" w:hAnsi="Arial" w:eastAsia="黑体" w:cs="Arial"/>
      <w:kern w:val="2"/>
    </w:rPr>
  </w:style>
  <w:style w:type="character" w:customStyle="1" w:styleId="91">
    <w:name w:val="标题 3 Char Char"/>
    <w:basedOn w:val="59"/>
    <w:qFormat/>
    <w:uiPriority w:val="0"/>
    <w:rPr>
      <w:b/>
      <w:bCs/>
      <w:kern w:val="2"/>
      <w:sz w:val="32"/>
      <w:szCs w:val="32"/>
    </w:rPr>
  </w:style>
  <w:style w:type="character" w:customStyle="1" w:styleId="92">
    <w:name w:val="批注主题 Char"/>
    <w:basedOn w:val="93"/>
    <w:link w:val="56"/>
    <w:semiHidden/>
    <w:qFormat/>
    <w:uiPriority w:val="0"/>
    <w:rPr>
      <w:rFonts w:ascii="Arial" w:hAnsi="Arial" w:eastAsia="MS Mincho"/>
      <w:b/>
      <w:bCs/>
      <w:lang w:val="en-GB" w:eastAsia="en-GB"/>
    </w:rPr>
  </w:style>
  <w:style w:type="character" w:customStyle="1" w:styleId="93">
    <w:name w:val="批注文字 Char"/>
    <w:basedOn w:val="59"/>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eastAsia="MS Mincho"/>
      <w:i/>
      <w:kern w:val="0"/>
      <w:sz w:val="18"/>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9"/>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9"/>
    <w:qFormat/>
    <w:uiPriority w:val="0"/>
    <w:rPr>
      <w:b/>
      <w:bCs/>
      <w:kern w:val="44"/>
      <w:sz w:val="44"/>
      <w:szCs w:val="44"/>
    </w:rPr>
  </w:style>
  <w:style w:type="character" w:customStyle="1" w:styleId="111">
    <w:name w:val="Doc-title Char Char"/>
    <w:basedOn w:val="59"/>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9"/>
    <w:link w:val="31"/>
    <w:qFormat/>
    <w:uiPriority w:val="99"/>
    <w:rPr>
      <w:rFonts w:ascii="Consolas" w:hAnsi="Consolas" w:eastAsia="Calibri"/>
      <w:sz w:val="21"/>
      <w:szCs w:val="21"/>
      <w:lang w:eastAsia="en-US"/>
    </w:rPr>
  </w:style>
  <w:style w:type="character" w:customStyle="1" w:styleId="118">
    <w:name w:val="首示例 Char Char"/>
    <w:basedOn w:val="59"/>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9"/>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9"/>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eastAsia="MS Mincho"/>
      <w:b/>
      <w:kern w:val="0"/>
      <w:sz w:val="20"/>
    </w:rPr>
  </w:style>
  <w:style w:type="character" w:customStyle="1" w:styleId="130">
    <w:name w:val="页眉 Char"/>
    <w:link w:val="38"/>
    <w:qFormat/>
    <w:uiPriority w:val="99"/>
    <w:rPr>
      <w:kern w:val="2"/>
      <w:sz w:val="18"/>
      <w:szCs w:val="18"/>
    </w:rPr>
  </w:style>
  <w:style w:type="character" w:customStyle="1" w:styleId="131">
    <w:name w:val="Doc-text2 Char Char"/>
    <w:basedOn w:val="59"/>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9"/>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9"/>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59"/>
    <w:link w:val="25"/>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59"/>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59"/>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9"/>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59"/>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8"/>
    <w:link w:val="284"/>
    <w:qFormat/>
    <w:uiPriority w:val="0"/>
    <w:pPr>
      <w:numPr>
        <w:ilvl w:val="0"/>
        <w:numId w:val="3"/>
      </w:numPr>
      <w:ind w:firstLine="0" w:firstLineChars="0"/>
    </w:pPr>
    <w:rPr>
      <w:rFonts w:cs="Arial"/>
      <w:color w:val="000000"/>
    </w:rPr>
  </w:style>
  <w:style w:type="paragraph" w:customStyle="1" w:styleId="283">
    <w:name w:val="3GPPObservation"/>
    <w:basedOn w:val="68"/>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619F3-18F6-434C-B161-FC47A6A8E56F}">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7</Pages>
  <Words>2496</Words>
  <Characters>14229</Characters>
  <Lines>118</Lines>
  <Paragraphs>33</Paragraphs>
  <TotalTime>10</TotalTime>
  <ScaleCrop>false</ScaleCrop>
  <LinksUpToDate>false</LinksUpToDate>
  <CharactersWithSpaces>16692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2022-08-09T07:09:00Z</dcterms:created>
  <dc:creator>10033860</dc:creator>
  <cp:lastModifiedBy>ZTE-Yu Pan</cp:lastModifiedBy>
  <cp:lastPrinted>2113-01-01T00:00:00Z</cp:lastPrinted>
  <dcterms:modified xsi:type="dcterms:W3CDTF">2022-11-04T06:48:48Z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D2AA74CB93D04AEF8907DE7D8A4773B3</vt:lpwstr>
  </property>
</Properties>
</file>